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ABA209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F871F3">
        <w:rPr>
          <w:rFonts w:ascii="Arial" w:eastAsia="Arial" w:hAnsi="Arial" w:cs="Arial"/>
          <w:b/>
          <w:bCs/>
        </w:rPr>
        <w:t>José Ferreira de Lima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bookmarkStart w:id="1" w:name="_GoBack"/>
      <w:bookmarkEnd w:id="1"/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5657E"/>
    <w:rsid w:val="00156CF8"/>
    <w:rsid w:val="001E30FB"/>
    <w:rsid w:val="00246ED4"/>
    <w:rsid w:val="00257F86"/>
    <w:rsid w:val="00292E4C"/>
    <w:rsid w:val="00296C96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EA7F9A"/>
    <w:rsid w:val="00F1614D"/>
    <w:rsid w:val="00F241B1"/>
    <w:rsid w:val="00F871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221F-79CA-45A6-AE06-CA00F2DD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3</cp:revision>
  <cp:lastPrinted>2021-02-25T18:05:00Z</cp:lastPrinted>
  <dcterms:created xsi:type="dcterms:W3CDTF">2021-10-07T17:55:00Z</dcterms:created>
  <dcterms:modified xsi:type="dcterms:W3CDTF">2021-10-07T17:56:00Z</dcterms:modified>
</cp:coreProperties>
</file>