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center"/>
        <w:rPr>
          <w:rFonts w:ascii="Arial" w:hAnsi="Arial" w:cs="Arial"/>
          <w:kern w:val="1"/>
          <w:sz w:val="24"/>
          <w:szCs w:val="24"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right"/>
        <w:rPr>
          <w:rFonts w:ascii="Arial" w:eastAsia="Arial" w:hAnsi="Arial" w:cs="Arial"/>
          <w:b/>
          <w:bCs/>
          <w:kern w:val="1"/>
        </w:rPr>
      </w:pPr>
      <w:r>
        <w:rPr>
          <w:rFonts w:ascii="Arial" w:eastAsia="Arial" w:hAnsi="Arial" w:cs="Arial"/>
          <w:b/>
          <w:bCs/>
          <w:kern w:val="1"/>
        </w:rPr>
        <w:t>Projeto de Lei nº _____  de 2021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ind w:left="5159" w:hanging="57"/>
        <w:jc w:val="both"/>
        <w:rPr>
          <w:rFonts w:ascii="Arial" w:eastAsia="Arial" w:hAnsi="Arial" w:cs="Arial"/>
          <w:b/>
          <w:bCs/>
          <w:kern w:val="1"/>
          <w:sz w:val="18"/>
          <w:szCs w:val="18"/>
        </w:rPr>
      </w:pPr>
      <w:r>
        <w:rPr>
          <w:rFonts w:ascii="Arial" w:eastAsia="Arial" w:hAnsi="Arial" w:cs="Arial"/>
          <w:b/>
          <w:bCs/>
          <w:kern w:val="1"/>
          <w:sz w:val="18"/>
          <w:szCs w:val="18"/>
        </w:rPr>
        <w:t>“Dispõe sobre a obrigatoriedade de bares, cafés, restaurantes, quiosques, casas noturnas, espaços de eventos e shows, assim como ambientes semelhantes adotarem medidas de auxílio e proteção à mulher em situação de risco de assédio e agressão”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b/>
          <w:bCs/>
          <w:kern w:val="1"/>
        </w:rPr>
        <w:t>Art. 1°</w:t>
      </w:r>
      <w:r>
        <w:rPr>
          <w:rFonts w:ascii="Arial" w:eastAsia="Arial" w:hAnsi="Arial" w:cs="Arial"/>
          <w:kern w:val="1"/>
        </w:rPr>
        <w:t xml:space="preserve"> - Ficam os bares, cafés, restaurantes, quiosques, casas noturnas, espaços de eventos e shows, assim como ambientes semelhantes obrigados a adotar medidas de auxílio e proteção à mulher em situação de risco de assédio e agressão, nas dependências desses estabelecimentos, no âmbito de Sumaré.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b/>
          <w:bCs/>
          <w:kern w:val="1"/>
        </w:rPr>
        <w:t>Art. 2°</w:t>
      </w:r>
      <w:r>
        <w:rPr>
          <w:rFonts w:ascii="Arial" w:eastAsia="Arial" w:hAnsi="Arial" w:cs="Arial"/>
          <w:kern w:val="1"/>
        </w:rPr>
        <w:t xml:space="preserve"> - Os estabelecimentos referidos no artigo anterior deverão oferecer competente treinamento aos seus funcionários e/ou equipe de segurança, visando atender adequadamente a mulher em situação de risco, vulnerabilidade ou violência, garantindo eficaz acolhida, auxílio e proteção.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§ 1° O treinamento especializado mencionado neste artigo compreende a instrução dos funcionários e/ou equipe de segurança sobre técnicas civilizadas de abordagem ao agressor, bem como sobre a conduta adequada a ser adotada no sentido de acolher, auxiliar e proteger a mulher enquadrada nas hipóteses desta Lei.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§ 2° O preposto do estabelecimento deverá atuar com discrição, registrando as circunstâncias fáticas e possibilitando a identificação do agressor a fim de facilitar eventual investigação perpetrada por autoridades competentes, disponibilizando à mulher ou às referidas autoridades todos os canais de comunicação para a efetiva promoção da defesa de seus direitos.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§ 3º Os estabelecimentos deverão afixar cartazes em seus banheiros, contendo informações sobre auxílio e proteção à mulher em situação de risco.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>§ 4° - Outros mecanismos que viabilizem a efetiva comunicação entre a mulher e o estabelecimento podem ser adotados.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b/>
          <w:bCs/>
          <w:kern w:val="1"/>
        </w:rPr>
        <w:t xml:space="preserve">Art. 3° </w:t>
      </w:r>
      <w:r>
        <w:rPr>
          <w:rFonts w:ascii="Arial" w:eastAsia="Arial" w:hAnsi="Arial" w:cs="Arial"/>
          <w:kern w:val="1"/>
        </w:rPr>
        <w:t>- O descumprimento desta Lei implica em advertência ao estabelecimento respectivo por parte da autoridade fiscalizadora.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§ 1° Em caso de reincidência, o estabelecimento será sancionado administrativamente em forma de multa correspondente à 30 (trinta) Ufesps (Unidade Fiscal do Estado de São Paulo) por parte da autoridade fiscalizadora, a ser recolhida pela Prefeitura Municipal. 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 único – Os valores arrecadados, provenientes da aplicação das multas previstas na presente lei, serão destinados a programas de proteção à mulher.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b/>
          <w:bCs/>
          <w:kern w:val="1"/>
        </w:rPr>
        <w:t>Art. 4°</w:t>
      </w:r>
      <w:r>
        <w:rPr>
          <w:rFonts w:ascii="Arial" w:eastAsia="Arial" w:hAnsi="Arial" w:cs="Arial"/>
          <w:kern w:val="1"/>
        </w:rPr>
        <w:t xml:space="preserve"> - As disposições contidas nesta Lei aplicam-se, de igual forma, a todas aquelas pessoas que se identificarem como mulher.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b/>
          <w:bCs/>
          <w:kern w:val="1"/>
        </w:rPr>
        <w:t>Art. 5°</w:t>
      </w:r>
      <w:r>
        <w:rPr>
          <w:rFonts w:ascii="Arial" w:eastAsia="Arial" w:hAnsi="Arial" w:cs="Arial"/>
          <w:kern w:val="1"/>
        </w:rPr>
        <w:t xml:space="preserve"> - Esta Lei entra em vigor 90 (noventa) dias após a data da sua publicação.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Style w:val="Heading3"/>
        <w:keepNext/>
        <w:keepLines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firstLine="567"/>
        <w:jc w:val="center"/>
        <w:rPr>
          <w:rFonts w:ascii="Arial" w:eastAsia="Arial" w:hAnsi="Arial" w:cs="Arial"/>
          <w:caps/>
          <w:sz w:val="22"/>
          <w:szCs w:val="22"/>
        </w:rPr>
      </w:pPr>
    </w:p>
    <w:p>
      <w:pPr>
        <w:pStyle w:val="Heading3"/>
        <w:keepNext/>
        <w:keepLines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firstLine="567"/>
        <w:jc w:val="center"/>
        <w:rPr>
          <w:rFonts w:ascii="Arial" w:eastAsia="Arial" w:hAnsi="Arial" w:cs="Arial"/>
          <w:caps/>
          <w:sz w:val="22"/>
          <w:szCs w:val="22"/>
        </w:rPr>
      </w:pPr>
    </w:p>
    <w:p>
      <w:pPr>
        <w:pStyle w:val="Heading3"/>
        <w:keepNext/>
        <w:keepLines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firstLine="567"/>
        <w:jc w:val="center"/>
        <w:rPr>
          <w:rFonts w:ascii="Arial" w:eastAsia="Arial" w:hAnsi="Arial" w:cs="Arial"/>
          <w:caps/>
          <w:sz w:val="22"/>
          <w:szCs w:val="22"/>
        </w:rPr>
      </w:pPr>
    </w:p>
    <w:p>
      <w:pPr>
        <w:pStyle w:val="Heading3"/>
        <w:keepNext/>
        <w:keepLines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firstLine="567"/>
        <w:jc w:val="center"/>
        <w:rPr>
          <w:rFonts w:ascii="Arial" w:eastAsia="Arial" w:hAnsi="Arial" w:cs="Arial"/>
          <w:caps/>
          <w:sz w:val="22"/>
          <w:szCs w:val="22"/>
        </w:rPr>
      </w:pPr>
      <w:r>
        <w:rPr>
          <w:rFonts w:ascii="Arial" w:eastAsia="Arial" w:hAnsi="Arial" w:cs="Arial"/>
          <w:caps/>
          <w:sz w:val="22"/>
          <w:szCs w:val="22"/>
        </w:rPr>
        <w:t>JUSTIFICATIVA</w:t>
      </w:r>
    </w:p>
    <w:p>
      <w:pPr>
        <w:pStyle w:val="Heading3"/>
        <w:keepNext/>
        <w:keepLines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firstLine="567"/>
        <w:jc w:val="center"/>
        <w:rPr>
          <w:rFonts w:ascii="Arial" w:eastAsia="Arial" w:hAnsi="Arial" w:cs="Arial"/>
          <w:caps/>
          <w:sz w:val="22"/>
          <w:szCs w:val="22"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o intuito de combater a violência e o assédio que as mulheres vêm sofrendo, apresento esta propositura no sentido de ampliar a rede de atenção e prevenção a violência contra a mulher oferecendo mecanismos para que a mesma peça ajuda, caso se sinta em situação de risco, enquanto estiver em estabelecimentos como bares, cafés, restaurantes, quiosques, casas noturnas, espaços de eventos e shows.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Infelizmente notícias relacionadas a casos de violência contra a mulher são recorrentes nos dias atuais, mesmo com a Lei Maria da Penha (Lei Federal 11.340, de agosto de 2006), que cria mecanismos para coibir e punir quem comete esse tipo de crime.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Ressalta-se que de janeiro a maio de 2021 a Secretaria de Segurança Pública do Estado de São Paulo registrou 79 feminicídios, 21.657 lesões corporais, 19.968 ocorrências de ameaça e 4.821 calúnias contra as mulheres. Feminicídios tentados e consumados e agressões domésticas aumentaram assombrosamente tendo atingido números alarmantes em todo o território nacional.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Nesse sentido, para que as estatísticas envolvendo a violência contra a mulher regridam, o engajamento por parte deste Parlamento é de fundamental importância. Diante do exposto e da relevância da matéria em questão, conto com a sensibilidade e com o apoio dos nobres pares para a aprovação deste projeto.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ind w:firstLine="1417"/>
        <w:jc w:val="both"/>
        <w:rPr>
          <w:rFonts w:ascii="Arial" w:eastAsia="Arial" w:hAnsi="Arial" w:cs="Arial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360" w:lineRule="auto"/>
        <w:jc w:val="both"/>
        <w:rPr>
          <w:rFonts w:ascii="arial " w:eastAsia="arial " w:hAnsi="arial " w:cs="arial "/>
          <w:kern w:val="1"/>
          <w:sz w:val="20"/>
          <w:szCs w:val="20"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center"/>
        <w:rPr>
          <w:rFonts w:ascii="Arial" w:eastAsia="Arial" w:hAnsi="Arial" w:cs="Arial"/>
          <w:kern w:val="1"/>
          <w:sz w:val="24"/>
          <w:szCs w:val="24"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7" w:lineRule="auto"/>
        <w:jc w:val="center"/>
        <w:rPr>
          <w:rFonts w:ascii="Arial" w:eastAsia="Arial" w:hAnsi="Arial" w:cs="Arial"/>
          <w:kern w:val="1"/>
          <w:sz w:val="24"/>
          <w:szCs w:val="24"/>
        </w:rPr>
      </w:pPr>
      <w:r>
        <w:rPr>
          <w:noProof/>
        </w:rPr>
        <w:drawing>
          <wp:inline distT="0" distB="0" distL="0" distR="0">
            <wp:extent cx="1765935" cy="613410"/>
            <wp:effectExtent l="0" t="0" r="0" b="0"/>
            <wp:docPr id="1" name="Imagem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41772" name="Imagem21"/>
                    <pic:cNvPicPr>
                      <a:extLst>
                        <a:ext xmlns:a="http://schemas.openxmlformats.org/drawingml/2006/main" uri="smNativeData">
                          <sm:smNativeData xmlns:sm="smNativeData" val="SMDATA_14_cQJC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0KAADGAwAA3QoAAMYDAAAAAAAACQAAAAQAAAAAAAAADAAAABAAAAAAAAAAAAAAAAAAAAAAAAAAHgAAAGgAAAAAAAAAAAAAAAAAAAAAAAAAAAAAABAnAAAQJwAAAAAAAAAAAAAAAAAAAAAAAAAAAAAAAAAAAAAAAAAAAAAUAAAAAAAAAMDA/wAAAAAAZAAAADIAAAAAAAAAZAAAAAAAAAB/f38ACgAAACEAAABAAAAAPAAAAAAAAAAAAAAAAAAAAAAAAAABAAAAAAAAAAAAAAABAAAAAAAAAAAAAADdCgAAxg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6134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line="360" w:lineRule="auto"/>
        <w:ind w:firstLine="1417"/>
        <w:jc w:val="both"/>
        <w:rPr>
          <w:rFonts w:ascii="Arial" w:hAnsi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both"/>
        <w:rPr>
          <w:rFonts w:ascii="Arial" w:hAnsi="Arial"/>
          <w:sz w:val="21"/>
          <w:szCs w:val="21"/>
        </w:rPr>
      </w:pPr>
    </w:p>
    <w:p>
      <w:pPr>
        <w:pStyle w:val="Standard"/>
        <w:spacing w:line="360" w:lineRule="auto"/>
        <w:ind w:firstLine="1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FERNANDO DO POSTO </w:t>
      </w:r>
    </w:p>
    <w:p>
      <w:pPr>
        <w:pStyle w:val="Standard"/>
        <w:spacing w:line="360" w:lineRule="auto"/>
        <w:ind w:firstLine="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361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Droid Sans">
    <w:panose1 w:val="020B0604020202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"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cQJC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EU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-632460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cQJCYRMAAAAlAAAAAQAAAA0BAAAAkAAAAEgAAACQAAAASAAAAAAAAAAAAAAAAAAAABcAAAAUAAAAAAAAAAAAAAD/fwAA/38AAAAAAAAJAAAABAAAAAAAAAAMAAAAEAAAAAAAAAAAAAAAAAAAAAAAAAAhAAAAQAAAADwAAAAAAAAAECAAACAAAAAAAAAAAAAAAAIAAACf+v//AAAAAAIAAAAc/P//fy4AADA/AAAAAAAA8P///+D+//8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cQJ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O0FAAD9J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cQJC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PD///9QD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cQJ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JQcAADg/v//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-49.8pt;margin-left:-68.85pt;mso-wrap-distance-bottom:7.05pt;mso-wrap-distance-left:7.05pt;mso-wrap-distance-right:7.05pt;mso-wrap-distance-top:7.05pt;position:absolute;z-index:251662336" coordorigin="-16,-288" coordsize="11903,16176">
              <v:rect id="Forma Livre: Forma 22" o:spid="_x0000_s2050" style="width:10370;height:3050;left:1517;position:absolute;top:9981" fillcolor="#fee9de" stroked="f">
                <v:fill color2="black" angle="90" type="solid"/>
              </v:rect>
              <v:rect id="Forma Livre: Forma 23" o:spid="_x0000_s2051" style="width:6104;height:11968;left:-16;position:absolute;top:3920" fillcolor="#e3e5f3" stroked="f">
                <v:fill color2="black" angle="90" type="solid"/>
              </v:rect>
              <v:rect id="Forma Livre: Forma 24" o:spid="_x0000_s2052" style="width:4571;height:16166;left:7316;position:absolute;top:-28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91190" name="Imagem21"/>
                  <pic:cNvPicPr>
                    <a:extLst>
                      <a:ext xmlns:a="http://schemas.openxmlformats.org/drawingml/2006/main" uri="smNativeData">
                        <sm:smNativeData xmlns:sm="smNativeData" val="SMDATA_14_cQJC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0507A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48CDA0F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25352BAE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B49B262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3F363339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3FF76002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6">
    <w:nsid w:val="42E0606C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53E9256D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58A346FC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28</cp:revision>
  <dcterms:created xsi:type="dcterms:W3CDTF">2021-05-03T16:59:00Z</dcterms:created>
  <dcterms:modified xsi:type="dcterms:W3CDTF">2021-09-15T14:25:53Z</dcterms:modified>
</cp:coreProperties>
</file>