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E2B0FB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DC0690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implantação da operação 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C0690">
        <w:rPr>
          <w:rFonts w:ascii="Arial" w:eastAsia="MS Mincho" w:hAnsi="Arial" w:cs="Arial"/>
          <w:b/>
          <w:bCs/>
          <w:sz w:val="28"/>
          <w:szCs w:val="28"/>
        </w:rPr>
        <w:t xml:space="preserve">esquina das ruas Adolpho </w:t>
      </w:r>
      <w:r w:rsidR="00DC0690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DC0690">
        <w:rPr>
          <w:rFonts w:ascii="Arial" w:eastAsia="MS Mincho" w:hAnsi="Arial" w:cs="Arial"/>
          <w:b/>
          <w:bCs/>
          <w:sz w:val="28"/>
          <w:szCs w:val="28"/>
        </w:rPr>
        <w:t xml:space="preserve"> com a Francisco de Paula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C069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C069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C0690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CF634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D7327B"/>
    <w:rsid w:val="00DC0690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E7E7C-EA58-438C-941C-934734A5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2021-09-13T14:23:00Z</dcterms:created>
  <dcterms:modified xsi:type="dcterms:W3CDTF">2021-09-13T14:23:00Z</dcterms:modified>
</cp:coreProperties>
</file>