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DB2A92" w14:paraId="15FC8F73" w14:textId="7769A2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B2A92" w:rsidR="00DB2A92">
        <w:rPr>
          <w:rFonts w:ascii="Bookman Old Style" w:hAnsi="Bookman Old Style" w:cs="Arial"/>
          <w:sz w:val="24"/>
          <w:szCs w:val="24"/>
        </w:rPr>
        <w:t>Rua Graciliano Ramo</w:t>
      </w:r>
      <w:bookmarkStart w:id="0" w:name="_GoBack"/>
      <w:bookmarkEnd w:id="0"/>
      <w:r w:rsidRPr="00DB2A92" w:rsidR="00DB2A92">
        <w:rPr>
          <w:rFonts w:ascii="Bookman Old Style" w:hAnsi="Bookman Old Style" w:cs="Arial"/>
          <w:sz w:val="24"/>
          <w:szCs w:val="24"/>
        </w:rPr>
        <w:t>s, Parque Residencial Casarão.</w:t>
      </w:r>
    </w:p>
    <w:p w:rsidR="00DB2A92" w:rsidRPr="00471468" w:rsidP="00DB2A92" w14:paraId="2A7E92E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5789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5AE6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B2A92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2021-06-14T19:34:00Z</dcterms:created>
  <dcterms:modified xsi:type="dcterms:W3CDTF">2021-09-13T13:57:00Z</dcterms:modified>
</cp:coreProperties>
</file>