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C04F35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</w:t>
      </w:r>
      <w:r w:rsidR="007D6BE6">
        <w:rPr>
          <w:rFonts w:ascii="Arial" w:hAnsi="Arial" w:cs="Arial"/>
          <w:b/>
          <w:sz w:val="24"/>
          <w:szCs w:val="24"/>
          <w:u w:val="single"/>
        </w:rPr>
        <w:t xml:space="preserve">o redutor de velocidade instalado à Rua Antônio Jorge </w:t>
      </w:r>
      <w:r w:rsidR="007D6BE6">
        <w:rPr>
          <w:rFonts w:ascii="Arial" w:hAnsi="Arial" w:cs="Arial"/>
          <w:b/>
          <w:sz w:val="24"/>
          <w:szCs w:val="24"/>
          <w:u w:val="single"/>
        </w:rPr>
        <w:t>Chebab</w:t>
      </w:r>
      <w:r w:rsidR="007D6BE6">
        <w:rPr>
          <w:rFonts w:ascii="Arial" w:hAnsi="Arial" w:cs="Arial"/>
          <w:b/>
          <w:sz w:val="24"/>
          <w:szCs w:val="24"/>
          <w:u w:val="single"/>
        </w:rPr>
        <w:t>, em frente ao número 774 (Network Educacional II),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69F96FC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C34A9B">
        <w:rPr>
          <w:rFonts w:ascii="Arial" w:hAnsi="Arial" w:cs="Arial"/>
          <w:sz w:val="24"/>
          <w:szCs w:val="24"/>
        </w:rPr>
        <w:t>pintura do redutor</w:t>
      </w:r>
      <w:r>
        <w:rPr>
          <w:rFonts w:ascii="Arial" w:hAnsi="Arial" w:cs="Arial"/>
          <w:sz w:val="24"/>
          <w:szCs w:val="24"/>
        </w:rPr>
        <w:t xml:space="preserve">, situação que dificulta a visualização </w:t>
      </w:r>
      <w:r w:rsidR="00C34A9B">
        <w:rPr>
          <w:rFonts w:ascii="Arial" w:hAnsi="Arial" w:cs="Arial"/>
          <w:sz w:val="24"/>
          <w:szCs w:val="24"/>
        </w:rPr>
        <w:t>do obstáculo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22189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54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115BD"/>
    <w:rsid w:val="0076593E"/>
    <w:rsid w:val="007D6BE6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4A9B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D1D6A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B081-247F-47B2-BC38-43EE0D7B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2021-08-21T12:00:00Z</dcterms:created>
  <dcterms:modified xsi:type="dcterms:W3CDTF">2021-08-21T12:04:00Z</dcterms:modified>
</cp:coreProperties>
</file>