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CA2423" w14:paraId="7717FE08" w14:textId="28BE0300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CA2423">
        <w:rPr>
          <w:rFonts w:ascii="Arial" w:hAnsi="Arial" w:cs="Arial"/>
          <w:sz w:val="24"/>
        </w:rPr>
        <w:t>Rua</w:t>
      </w:r>
      <w:r w:rsidR="00CA2423">
        <w:rPr>
          <w:rFonts w:ascii="Arial" w:hAnsi="Arial" w:cs="Arial"/>
          <w:sz w:val="24"/>
        </w:rPr>
        <w:t xml:space="preserve"> Sete, 42</w:t>
      </w:r>
      <w:r w:rsidRPr="00CA2423" w:rsidR="00CA2423">
        <w:rPr>
          <w:rFonts w:ascii="Arial" w:hAnsi="Arial" w:cs="Arial"/>
          <w:sz w:val="24"/>
        </w:rPr>
        <w:t xml:space="preserve"> - Res. Recanto das Arvores, Sumaré - SP, 13180-656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8C7E11F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6327376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86432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14073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BE16EB"/>
    <w:rsid w:val="00C00C1E"/>
    <w:rsid w:val="00C36776"/>
    <w:rsid w:val="00C46B3D"/>
    <w:rsid w:val="00CA2423"/>
    <w:rsid w:val="00CC37F4"/>
    <w:rsid w:val="00CD35D4"/>
    <w:rsid w:val="00CD6B58"/>
    <w:rsid w:val="00CF401E"/>
    <w:rsid w:val="00D40B23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ABE0-63F3-4C13-AE4A-2456D22B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2021-08-04T22:50:00Z</dcterms:modified>
</cp:coreProperties>
</file>