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262B04" w14:paraId="2CC50D96" w14:textId="3A219BFA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d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a Área Pública na Rua </w:t>
      </w:r>
      <w:r>
        <w:rPr>
          <w:rFonts w:ascii="Arial" w:hAnsi="Arial" w:cs="Arial"/>
          <w:b/>
          <w:bCs/>
          <w:color w:val="333333"/>
          <w:sz w:val="24"/>
          <w:szCs w:val="24"/>
        </w:rPr>
        <w:t>Crenac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no Bairro </w:t>
      </w:r>
      <w:r>
        <w:rPr>
          <w:rFonts w:ascii="Arial" w:hAnsi="Arial" w:cs="Arial"/>
          <w:b/>
          <w:bCs/>
          <w:color w:val="333333"/>
          <w:sz w:val="24"/>
          <w:szCs w:val="24"/>
        </w:rPr>
        <w:t>Basilicata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262B04" w:rsidP="00262B04" w14:paraId="36699060" w14:textId="65410765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bookmarkEnd w:id="1"/>
    <w:p w:rsidR="00B413FD" w:rsidP="00262B04" w14:paraId="5D246C63" w14:textId="056A591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3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2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2C8CE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bookmarkEnd w:id="4"/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300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2021-07-21T19:07:00Z</dcterms:modified>
</cp:coreProperties>
</file>