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6D10C2B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>
        <w:rPr>
          <w:rFonts w:ascii="Arial" w:hAnsi="Arial" w:cs="Arial"/>
          <w:b/>
          <w:sz w:val="24"/>
          <w:szCs w:val="24"/>
        </w:rPr>
        <w:t>ao longo de toda a extensão d</w:t>
      </w:r>
      <w:r w:rsidR="00A12B93">
        <w:rPr>
          <w:rFonts w:ascii="Arial" w:hAnsi="Arial" w:cs="Arial"/>
          <w:b/>
          <w:sz w:val="24"/>
          <w:szCs w:val="24"/>
        </w:rPr>
        <w:t xml:space="preserve">a Rua </w:t>
      </w:r>
      <w:r>
        <w:rPr>
          <w:rFonts w:ascii="Arial" w:hAnsi="Arial" w:cs="Arial"/>
          <w:b/>
          <w:sz w:val="24"/>
          <w:szCs w:val="24"/>
        </w:rPr>
        <w:t>Alexandre França, localizada no bairro Parque João de Vasconcelos, CEP: 13.172-580.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08523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28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A343-B235-4FAA-9D49-60703343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2021-08-02T19:39:00Z</dcterms:created>
  <dcterms:modified xsi:type="dcterms:W3CDTF">2021-08-02T19:41:00Z</dcterms:modified>
</cp:coreProperties>
</file>