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41CFA3B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55C9A48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33BA06E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02A83579" w14:textId="7723F8CA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0A181D1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5A21467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499A044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34A3621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7AF7436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Augusto de Oliveira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7AE1BCF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411AC44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3AE846A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7BEA9E33" w14:textId="090F0885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72C3F33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45721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6255E24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0308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