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05536EE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6CD1F10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4D17747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17DC405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779C2EA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DB6A49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22D532A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6805564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394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2FCB0C2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1B9DF66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1602BD2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021EBAE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6FF461C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54217546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238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0D578B1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290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