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00000" w:rsidRPr="00000000" w:rsidP="00000000" w14:paraId="00000001">
      <w:pPr>
        <w:spacing w:before="0" w:after="240" w:line="240" w:lineRule="auto"/>
        <w:jc w:val="center"/>
      </w:pPr>
      <w:r w:rsidRPr="00000000">
        <w:rPr>
          <w:rFonts w:ascii="Arial" w:eastAsia="Arial" w:hAnsi="Arial" w:cs="Arial"/>
          <w:b/>
          <w:bCs/>
          <w:sz w:val="24"/>
          <w:szCs w:val="24"/>
          <w:rtl w:val="0"/>
        </w:rPr>
        <w:t>EXMO. SR. PRESIDENTE DA CÂMARA MUNICIPAL DE SUMARÉ</w:t>
      </w:r>
    </w:p>
    <w:p w:rsidR="00000000" w:rsidRPr="00000000" w:rsidP="00000000" w14:paraId="00000002">
      <w:pPr>
        <w:spacing w:before="0" w:after="0" w:line="360" w:lineRule="auto"/>
        <w:ind w:firstLine="720"/>
        <w:jc w:val="both"/>
      </w:pPr>
      <w:r w:rsidRPr="00000000">
        <w:rPr>
          <w:rFonts w:ascii="Arial" w:eastAsia="Arial" w:hAnsi="Arial" w:cs="Arial"/>
          <w:b w:val="0"/>
          <w:bCs w:val="0"/>
          <w:sz w:val="24"/>
          <w:szCs w:val="24"/>
          <w:rtl w:val="0"/>
        </w:rPr>
        <w:t xml:space="preserve">Pelo presente e na forma regimental, REQUEIRO que seja concedida a honraria </w:t>
      </w:r>
      <w:r w:rsidRPr="00000000">
        <w:rPr>
          <w:rFonts w:ascii="Arial" w:eastAsia="Arial" w:hAnsi="Arial" w:cs="Arial"/>
          <w:b/>
          <w:bCs/>
          <w:sz w:val="24"/>
          <w:szCs w:val="24"/>
          <w:rtl w:val="0"/>
        </w:rPr>
        <w:t>“MEDALHA PREFEITO PROFESSOR JOSÉ ANTÔNIO BACCHIM”</w:t>
      </w:r>
      <w:r w:rsidRPr="00000000">
        <w:rPr>
          <w:rFonts w:ascii="Arial" w:eastAsia="Arial" w:hAnsi="Arial" w:cs="Arial"/>
          <w:b w:val="0"/>
          <w:bCs w:val="0"/>
          <w:sz w:val="24"/>
          <w:szCs w:val="24"/>
          <w:rtl w:val="0"/>
        </w:rPr>
        <w:t xml:space="preserve">, conforme </w:t>
      </w:r>
      <w:r w:rsidRPr="00000000">
        <w:rPr>
          <w:rFonts w:ascii="Arial" w:eastAsia="Arial" w:hAnsi="Arial" w:cs="Arial"/>
          <w:b/>
          <w:bCs/>
          <w:sz w:val="24"/>
          <w:szCs w:val="24"/>
          <w:rtl w:val="0"/>
        </w:rPr>
        <w:t>Decreto-Legislativo nº 610, de 31 de março de 2026</w:t>
      </w:r>
      <w:r w:rsidRPr="00000000">
        <w:rPr>
          <w:rFonts w:ascii="Arial" w:eastAsia="Arial" w:hAnsi="Arial" w:cs="Arial"/>
          <w:b w:val="0"/>
          <w:bCs w:val="0"/>
          <w:sz w:val="24"/>
          <w:szCs w:val="24"/>
          <w:rtl w:val="0"/>
        </w:rPr>
        <w:t xml:space="preserve">, ao servidor público </w:t>
      </w:r>
      <w:r w:rsidRPr="00000000">
        <w:rPr>
          <w:rFonts w:ascii="Arial" w:eastAsia="Arial" w:hAnsi="Arial" w:cs="Arial"/>
          <w:b/>
          <w:bCs/>
          <w:sz w:val="24"/>
          <w:szCs w:val="24"/>
          <w:rtl w:val="0"/>
        </w:rPr>
        <w:t>Luis Carlos Gonçalves</w:t>
      </w:r>
      <w:r w:rsidRPr="00000000">
        <w:rPr>
          <w:rFonts w:ascii="Arial" w:eastAsia="Arial" w:hAnsi="Arial" w:cs="Arial"/>
          <w:b w:val="0"/>
          <w:bCs w:val="0"/>
          <w:sz w:val="24"/>
          <w:szCs w:val="24"/>
          <w:rtl w:val="0"/>
        </w:rPr>
        <w:t>, conhecido como</w:t>
      </w:r>
      <w:r w:rsidRPr="00000000">
        <w:rPr>
          <w:rFonts w:ascii="Arial" w:eastAsia="Arial" w:hAnsi="Arial" w:cs="Arial"/>
          <w:sz w:val="24"/>
          <w:szCs w:val="24"/>
          <w:rtl w:val="0"/>
        </w:rPr>
        <w:t xml:space="preserve"> </w:t>
      </w:r>
      <w:r w:rsidRPr="00000000">
        <w:rPr>
          <w:rFonts w:ascii="Arial" w:eastAsia="Arial" w:hAnsi="Arial" w:cs="Arial"/>
          <w:b/>
          <w:bCs/>
          <w:sz w:val="24"/>
          <w:szCs w:val="24"/>
          <w:rtl w:val="0"/>
        </w:rPr>
        <w:t>Professor Luis</w:t>
      </w:r>
      <w:r w:rsidRPr="00000000">
        <w:rPr>
          <w:rFonts w:ascii="Arial" w:eastAsia="Arial" w:hAnsi="Arial" w:cs="Arial"/>
          <w:b w:val="0"/>
          <w:bCs w:val="0"/>
          <w:sz w:val="24"/>
          <w:szCs w:val="24"/>
          <w:rtl w:val="0"/>
        </w:rPr>
        <w:t>.</w:t>
      </w:r>
    </w:p>
    <w:p w:rsidR="00000000" w:rsidRPr="00000000" w:rsidP="00000000" w14:paraId="00000003">
      <w:pPr>
        <w:spacing w:before="0" w:after="0" w:line="360" w:lineRule="auto"/>
        <w:ind w:firstLine="720"/>
        <w:jc w:val="both"/>
      </w:pPr>
      <w:r w:rsidRPr="00000000">
        <w:rPr>
          <w:rFonts w:ascii="Arial" w:eastAsia="Arial" w:hAnsi="Arial" w:cs="Arial"/>
          <w:b w:val="0"/>
          <w:bCs w:val="0"/>
          <w:sz w:val="24"/>
          <w:szCs w:val="24"/>
          <w:rtl w:val="0"/>
        </w:rPr>
        <w:t>Luis Carlos Gonçalves, mais conhecido como Professor Luis, possui 29 anos, 1 mês e 11 dias de efetivos serviços prestados ao Município de Sumaré, considerando sua trajetória funcional, entre idas e vindas, desde o ano de 1992 até o final do mês de setembro de 2026. Ao longo dessa caminhada, exerceu funções em diferentes Secretarias Municipais, integrou Conselhos e Comissões, participou e dirigiu Conferências e representou Sumaré em importantes espaços de articulação municipal, regional e estadual.</w:t>
      </w:r>
    </w:p>
    <w:p w:rsidR="00000000" w:rsidRPr="00000000" w:rsidP="00000000" w14:paraId="00000004">
      <w:pPr>
        <w:spacing w:before="0" w:after="0" w:line="360" w:lineRule="auto"/>
        <w:ind w:firstLine="720"/>
        <w:jc w:val="both"/>
      </w:pPr>
      <w:r w:rsidRPr="00000000">
        <w:rPr>
          <w:rFonts w:ascii="Arial" w:eastAsia="Arial" w:hAnsi="Arial" w:cs="Arial"/>
          <w:b w:val="0"/>
          <w:bCs w:val="0"/>
          <w:sz w:val="24"/>
          <w:szCs w:val="24"/>
          <w:rtl w:val="0"/>
        </w:rPr>
        <w:t>Na Secretaria de Cultura, Esporte e Lazer e na Secretaria de Cultura e Turismo, dedicou-se à gestão, ao planejamento e ao fortalecimento das políticas culturais. Assessorou o Conselho Municipal de Cultura e esteve envolvido na realização de Conferências Municipais de Cultura, além de coordenar comissões responsáveis pela análise, seleção, acompanhamento, monitoramento e avaliação de projetos e recursos da Lei Aldir Blanc e da Lei Paulo Gustavo. Atuou ainda na gestão de espaço cultural, na realização de exposições e no planejamento e acompanhamento da implementação da Política Nacional Aldir Blanc em Sumaré.</w:t>
      </w:r>
    </w:p>
    <w:p w:rsidR="00000000" w:rsidRPr="00000000" w:rsidP="00000000" w14:paraId="00000005">
      <w:pPr>
        <w:spacing w:before="0" w:after="0" w:line="360" w:lineRule="auto"/>
        <w:ind w:firstLine="720"/>
        <w:jc w:val="both"/>
      </w:pPr>
      <w:r w:rsidRPr="00000000">
        <w:rPr>
          <w:rFonts w:ascii="Arial" w:eastAsia="Arial" w:hAnsi="Arial" w:cs="Arial"/>
          <w:b w:val="0"/>
          <w:bCs w:val="0"/>
          <w:sz w:val="24"/>
          <w:szCs w:val="24"/>
          <w:rtl w:val="0"/>
        </w:rPr>
        <w:t>Na Secretaria de Habitação, esteve à frente da coordenação da Conferência Municipal da Cidade de Sumaré, contribuindo para ampliar o diálogo e a participação da sociedade na construção das políticas públicas.</w:t>
      </w:r>
    </w:p>
    <w:p w:rsidR="00000000" w:rsidRPr="00000000" w:rsidP="00000000" w14:paraId="00000006">
      <w:pPr>
        <w:spacing w:before="0" w:after="0" w:line="360" w:lineRule="auto"/>
        <w:ind w:firstLine="720"/>
        <w:jc w:val="both"/>
      </w:pPr>
      <w:r w:rsidRPr="00000000">
        <w:rPr>
          <w:rFonts w:ascii="Arial" w:eastAsia="Arial" w:hAnsi="Arial" w:cs="Arial"/>
          <w:b w:val="0"/>
          <w:bCs w:val="0"/>
          <w:sz w:val="24"/>
          <w:szCs w:val="24"/>
          <w:rtl w:val="0"/>
        </w:rPr>
        <w:t>Na Secretaria Municipal de Educação, assumiu a coordenação da Equipe Técnica de Monitoramento e Avaliação do Plano Municipal de Educação de Sumaré, além de atuar na articulação dos colegiados de participação popular voltados à gestão democrática das políticas educacionais. Instituiu a realização de Pré-Conferências de Educação, ampliando a participação da comunidade escolar e fortalecendo os espaços de diálogo e construção coletiva das políticas educacionais. Atuou também na implantação de projetos pedagógicos e programas, no planejamento de demandas, na elaboração de diretrizes e no acompanhamento da execução orçamentária.</w:t>
      </w:r>
    </w:p>
    <w:p w:rsidR="00000000" w:rsidRPr="00000000" w:rsidP="00000000" w14:paraId="00000007">
      <w:pPr>
        <w:spacing w:before="0" w:after="0" w:line="360" w:lineRule="auto"/>
        <w:ind w:firstLine="720"/>
        <w:jc w:val="both"/>
      </w:pPr>
      <w:r w:rsidRPr="00000000">
        <w:rPr>
          <w:rFonts w:ascii="Arial" w:eastAsia="Arial" w:hAnsi="Arial" w:cs="Arial"/>
          <w:b w:val="0"/>
          <w:bCs w:val="0"/>
          <w:sz w:val="24"/>
          <w:szCs w:val="24"/>
          <w:rtl w:val="0"/>
        </w:rPr>
        <w:t>Sua experiência no campo das políticas públicas fez com que sua atuação ultrapassasse os limites do Município de Sumaré. Integrou o Fórum de Dirigentes Municipais de Educação da Região Metropolitana de Campinas e representou Sumaré no Fórum de Educação do Estado de São Paulo, colegiado que reúne cerca de 70 entidades educacionais, entre associações, coletivos, sindicatos e órgãos públicos, no qual exerceu a função de Secretário Executivo.</w:t>
      </w:r>
    </w:p>
    <w:p w:rsidR="00000000" w:rsidRPr="00000000" w:rsidP="00000000" w14:paraId="00000008">
      <w:pPr>
        <w:spacing w:before="0" w:after="0" w:line="360" w:lineRule="auto"/>
        <w:ind w:firstLine="720"/>
        <w:jc w:val="both"/>
      </w:pPr>
      <w:r w:rsidRPr="00000000">
        <w:rPr>
          <w:rFonts w:ascii="Arial" w:eastAsia="Arial" w:hAnsi="Arial" w:cs="Arial"/>
          <w:b w:val="0"/>
          <w:bCs w:val="0"/>
          <w:sz w:val="24"/>
          <w:szCs w:val="24"/>
          <w:rtl w:val="0"/>
        </w:rPr>
        <w:t>No Fundo de Previdência Social, desenvolveu atividades relacionadas ao recadastramento anual, à supervisão da folha de pagamento de benefícios previdenciários, à orientação de segurados e dependentes, ao encaminhamento de dados para o cálculo atuarial e à organização e ao controle de perícias médicas. Contribuiu também para a criação do site institucional do SUMPREV, para a realização de palestras educativas e para a seleção de notícias de interesse dos segurados. No âmbito da gestão institucional do Fundo, atuou ainda na organização regimental do Conselho Administrativo, do Conselho Fiscal e do Comitê de Investimentos, contribuindo para o fortalecimento da estrutura de governança e do funcionamento desses órgãos.</w:t>
      </w:r>
    </w:p>
    <w:p w:rsidR="00000000" w:rsidRPr="00000000" w:rsidP="00000000" w14:paraId="00000009">
      <w:pPr>
        <w:spacing w:before="0" w:after="0" w:line="360" w:lineRule="auto"/>
        <w:ind w:firstLine="720"/>
        <w:jc w:val="both"/>
      </w:pPr>
      <w:r w:rsidRPr="00000000">
        <w:rPr>
          <w:rFonts w:ascii="Arial" w:eastAsia="Arial" w:hAnsi="Arial" w:cs="Arial"/>
          <w:b w:val="0"/>
          <w:bCs w:val="0"/>
          <w:sz w:val="24"/>
          <w:szCs w:val="24"/>
          <w:rtl w:val="0"/>
        </w:rPr>
        <w:t>Na Secretaria de Gabinete e na Secretaria de Governo, atuou em atividades de protocolo, despacho e acompanhamento de documentos, elaboração de pareceres e relacionamento administrativo com a Câmara Municipal e outros órgãos públicos e privados. Prestou apoio às Associações de Moradores, contribuindo para a articulação de políticas de incentivo à cidadania, e colaborou na articulação com os Governos Estadual e Federal na busca de recursos destinados ao Município.</w:t>
      </w:r>
    </w:p>
    <w:p w:rsidR="00000000" w:rsidRPr="00000000" w:rsidP="00000000" w14:paraId="0000000A">
      <w:pPr>
        <w:spacing w:before="0" w:after="0" w:line="360" w:lineRule="auto"/>
        <w:ind w:firstLine="720"/>
        <w:jc w:val="both"/>
      </w:pPr>
      <w:r w:rsidRPr="00000000">
        <w:rPr>
          <w:rFonts w:ascii="Arial" w:eastAsia="Arial" w:hAnsi="Arial" w:cs="Arial"/>
          <w:b w:val="0"/>
          <w:bCs w:val="0"/>
          <w:sz w:val="24"/>
          <w:szCs w:val="24"/>
          <w:rtl w:val="0"/>
        </w:rPr>
        <w:t>Na Secretaria de Comunicação, atuou na condução e apresentação de eventos como mestre de cerimônias. Na Secretaria de Administração, esteve envolvido na realização de concursos públicos. Ao longo de sua trajetória, esteve direta ou indiretamente presente nos Conselhos Municipais, demonstrando ampla participação nos espaços de representação e controle social das políticas públicas.</w:t>
      </w:r>
    </w:p>
    <w:p w:rsidR="00000000" w:rsidRPr="00000000" w:rsidP="00000000" w14:paraId="0000000B">
      <w:pPr>
        <w:spacing w:before="0" w:after="0" w:line="360" w:lineRule="auto"/>
        <w:ind w:firstLine="720"/>
        <w:jc w:val="both"/>
      </w:pPr>
      <w:r w:rsidRPr="00000000">
        <w:rPr>
          <w:rFonts w:ascii="Arial" w:eastAsia="Arial" w:hAnsi="Arial" w:cs="Arial"/>
          <w:b w:val="0"/>
          <w:bCs w:val="0"/>
          <w:sz w:val="24"/>
          <w:szCs w:val="24"/>
          <w:rtl w:val="0"/>
        </w:rPr>
        <w:t>Sua contribuição alcançou também a Câmara Municipal de Sumaré, onde atuou junto à Escola do Legislativo, colaborando para suas atividades de formação e fortalecimento institucional.</w:t>
      </w:r>
    </w:p>
    <w:p w:rsidR="00000000" w:rsidRPr="00000000" w:rsidP="00000000" w14:paraId="0000000C">
      <w:pPr>
        <w:spacing w:before="0" w:after="0" w:line="360" w:lineRule="auto"/>
        <w:jc w:val="both"/>
      </w:pPr>
      <w:r w:rsidRPr="00000000">
        <w:rPr>
          <w:rFonts w:ascii="Arial" w:eastAsia="Arial" w:hAnsi="Arial" w:cs="Arial"/>
          <w:b w:val="0"/>
          <w:bCs w:val="0"/>
          <w:sz w:val="24"/>
          <w:szCs w:val="24"/>
          <w:rtl w:val="0"/>
        </w:rPr>
        <w:t>Uma trajetória profissional, entretanto, não se mede apenas pelo número de funções exercidas ou pelos espaços ocupados, mas pela forma como cada responsabilidade é assumida e cumprida. Nesse aspecto, merece especial destaque o fato de que, em quase três décadas de serviço público, não houve uma mácula sequer que desabonasse sua conduta profissional, sua atuação funcional ou a confiança que lhe foi depositada. Sua história é marcada pela ética, pela responsabilidade, pelo respeito às instituições e pelo compromisso com o interesse público e com os valores democráticos.</w:t>
      </w:r>
    </w:p>
    <w:p w:rsidR="00000000" w:rsidRPr="00000000" w:rsidP="00000000" w14:paraId="0000000D">
      <w:pPr>
        <w:spacing w:before="0" w:after="0" w:line="360" w:lineRule="auto"/>
        <w:ind w:firstLine="720"/>
        <w:jc w:val="both"/>
      </w:pPr>
      <w:r w:rsidRPr="00000000">
        <w:rPr>
          <w:rFonts w:ascii="Arial" w:eastAsia="Arial" w:hAnsi="Arial" w:cs="Arial"/>
          <w:b w:val="0"/>
          <w:bCs w:val="0"/>
          <w:sz w:val="24"/>
          <w:szCs w:val="24"/>
          <w:rtl w:val="0"/>
        </w:rPr>
        <w:t>Por sua trajetória de trabalho, dedicação e compromisso com o serviço público, pela contribuição prestada em diferentes áreas da Administração Municipal e pela atuação em espaços de participação social, planejamento, gestão e formulação de políticas públicas, é com grande honra que solicito a concessão da Medalha Prefeito Professor José Antônio Bacchim a Luis Carlos Gonçalves – Professor Luis, como justo reconhecimento por sua relevante trajetória como servidor público e por sua contribuição ao Município de Sumaré.</w:t>
      </w:r>
    </w:p>
    <w:p w:rsidR="00000000" w:rsidRPr="00000000" w:rsidP="00000000" w14:paraId="0000000E">
      <w:pPr>
        <w:spacing w:before="0" w:after="0" w:line="360" w:lineRule="auto"/>
        <w:ind w:firstLine="720"/>
        <w:jc w:val="both"/>
      </w:pPr>
      <w:r w:rsidRPr="00000000">
        <w:rPr>
          <w:rFonts w:ascii="Arial" w:eastAsia="Arial" w:hAnsi="Arial" w:cs="Arial"/>
          <w:b w:val="0"/>
          <w:bCs w:val="0"/>
          <w:sz w:val="24"/>
          <w:szCs w:val="24"/>
          <w:rtl w:val="0"/>
        </w:rPr>
        <w:t>Por tais méritos, é justo e necessário o reconhecimento desta Casa de Leis.</w:t>
      </w:r>
    </w:p>
    <w:p w:rsidR="00000000" w:rsidRPr="00000000" w:rsidP="00000000" w14:paraId="0000000F">
      <w:pPr>
        <w:spacing w:before="240" w:after="0" w:line="240" w:lineRule="auto"/>
        <w:jc w:val="right"/>
        <w:rPr>
          <w:rFonts w:ascii="Arial" w:eastAsia="Arial" w:hAnsi="Arial" w:cs="Arial"/>
          <w:b w:val="0"/>
          <w:bCs w:val="0"/>
          <w:sz w:val="24"/>
          <w:szCs w:val="24"/>
        </w:rPr>
      </w:pPr>
      <w:r w:rsidRPr="00000000">
        <w:rPr>
          <w:rFonts w:ascii="Arial" w:eastAsia="Arial" w:hAnsi="Arial" w:cs="Arial"/>
          <w:b w:val="0"/>
          <w:bCs w:val="0"/>
          <w:sz w:val="24"/>
          <w:szCs w:val="24"/>
          <w:rtl w:val="0"/>
        </w:rPr>
        <w:t xml:space="preserve">Sala das Sessões, </w:t>
      </w:r>
      <w:r w:rsidRPr="00000000">
        <w:rPr>
          <w:rFonts w:ascii="Arial" w:eastAsia="Arial" w:hAnsi="Arial" w:cs="Arial"/>
          <w:sz w:val="24"/>
          <w:szCs w:val="24"/>
          <w:rtl w:val="0"/>
        </w:rPr>
        <w:t xml:space="preserve">05 </w:t>
      </w:r>
      <w:r w:rsidRPr="00000000">
        <w:rPr>
          <w:rFonts w:ascii="Arial" w:eastAsia="Arial" w:hAnsi="Arial" w:cs="Arial"/>
          <w:b w:val="0"/>
          <w:bCs w:val="0"/>
          <w:sz w:val="24"/>
          <w:szCs w:val="24"/>
          <w:rtl w:val="0"/>
        </w:rPr>
        <w:t xml:space="preserve">de </w:t>
      </w:r>
      <w:r w:rsidRPr="00000000">
        <w:rPr>
          <w:rFonts w:ascii="Arial" w:eastAsia="Arial" w:hAnsi="Arial" w:cs="Arial"/>
          <w:sz w:val="24"/>
          <w:szCs w:val="24"/>
          <w:rtl w:val="0"/>
        </w:rPr>
        <w:t>outubro</w:t>
      </w:r>
      <w:r w:rsidRPr="00000000">
        <w:rPr>
          <w:rFonts w:ascii="Arial" w:eastAsia="Arial" w:hAnsi="Arial" w:cs="Arial"/>
          <w:b w:val="0"/>
          <w:bCs w:val="0"/>
          <w:sz w:val="24"/>
          <w:szCs w:val="24"/>
          <w:rtl w:val="0"/>
        </w:rPr>
        <w:t xml:space="preserve"> de 2026.</w:t>
      </w:r>
    </w:p>
    <w:p w:rsidR="00000000" w:rsidRPr="00000000" w:rsidP="00000000" w14:paraId="00000010">
      <w:pPr>
        <w:spacing w:before="240" w:after="0" w:line="240" w:lineRule="auto"/>
        <w:jc w:val="right"/>
        <w:rPr>
          <w:rFonts w:ascii="Arial" w:eastAsia="Arial" w:hAnsi="Arial" w:cs="Arial"/>
          <w:sz w:val="24"/>
          <w:szCs w:val="24"/>
        </w:rPr>
      </w:pPr>
    </w:p>
    <w:p w:rsidR="00000000" w:rsidRPr="00000000" w:rsidP="00000000" w14:paraId="00000011">
      <w:pPr>
        <w:spacing w:before="80" w:after="0"/>
        <w:jc w:val="center"/>
      </w:pPr>
      <w:r w:rsidRPr="00000000">
        <w:drawing>
          <wp:inline distT="0" distB="0" distL="114300" distR="114300">
            <wp:extent cx="3223732" cy="1389088"/>
            <wp:effectExtent l="0" t="0" r="0" b="0"/>
            <wp:docPr id="1831989168" name="image1.png"/>
            <wp:cNvGraphicFramePr/>
            <a:graphic xmlns:a="http://schemas.openxmlformats.org/drawingml/2006/main">
              <a:graphicData uri="http://schemas.openxmlformats.org/drawingml/2006/picture">
                <pic:pic xmlns:pic="http://schemas.openxmlformats.org/drawingml/2006/picture">
                  <pic:nvPicPr>
                    <pic:cNvPr id="2061476030" name="image1.png"/>
                    <pic:cNvPicPr/>
                  </pic:nvPicPr>
                  <pic:blipFill>
                    <a:blip xmlns:r="http://schemas.openxmlformats.org/officeDocument/2006/relationships" r:embed="rId5"/>
                    <a:stretch>
                      <a:fillRect/>
                    </a:stretch>
                  </pic:blipFill>
                  <pic:spPr>
                    <a:xfrm>
                      <a:off x="0" y="0"/>
                      <a:ext cx="3223732" cy="1389088"/>
                    </a:xfrm>
                    <a:prstGeom prst="rect">
                      <a:avLst/>
                    </a:prstGeom>
                  </pic:spPr>
                </pic:pic>
              </a:graphicData>
            </a:graphic>
          </wp:inline>
        </w:drawing>
      </w:r>
    </w:p>
    <w:sectPr>
      <w:headerReference w:type="default" r:id="rId6"/>
      <w:footerReference w:type="even" r:id="rId7"/>
      <w:footerReference w:type="default" r:id="rId8"/>
      <w:footerReference w:type="first" r:id="rId9"/>
      <w:pgSz w:w="11906" w:h="16838" w:orient="portrait"/>
      <w:pgMar w:top="1417" w:right="1276" w:bottom="1417" w:left="1417" w:header="708" w:footer="708"/>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sig w:usb0="00000000" w:usb1="00000000" w:usb2="00000000" w:usb3="00000000" w:csb0="00000001" w:csb1="00000000"/>
    <w:embedRegular r:id="rId1" w:fontKey="{1BBF27FC-3327-4D0B-93C3-DB065733EBA8}"/>
  </w:font>
  <w:font w:name="Times New Roman">
    <w:charset w:val="00"/>
    <w:family w:val="auto"/>
    <w:pitch w:val="default"/>
  </w:font>
  <w:font w:name="Georgia">
    <w:charset w:val="00"/>
    <w:family w:val="auto"/>
    <w:pitch w:val="default"/>
    <w:sig w:usb0="00000000" w:usb1="00000000" w:usb2="00000000" w:usb3="00000000" w:csb0="00000001" w:csb1="00000000"/>
    <w:embedRegular r:id="rId2" w:fontKey="{F2E9124C-B51B-439E-9D8A-ABAFFCB66B38}"/>
  </w:font>
  <w:font w:name="Arial">
    <w:charset w:val="00"/>
    <w:family w:val="auto"/>
    <w:pitch w:val="default"/>
  </w:font>
  <w:font w:name="Cambria">
    <w:charset w:val="00"/>
    <w:family w:val="auto"/>
    <w:pitch w:val="default"/>
    <w:sig w:usb0="00000000" w:usb1="00000000" w:usb2="00000000" w:usb3="00000000" w:csb0="00000001" w:csb1="00000000"/>
    <w:embedRegular r:id="rId3" w:fontKey="{BE97FD47-9A84-4321-A3B2-5B5A5F0D17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6">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3">
    <w:bookmarkStart w:id="0" w:name="_heading=h.usxow0vaxw8a" w:colFirst="0" w:colLast="0"/>
    <w:bookmarkEnd w:id="0"/>
    <w:r w:rsidRPr="00000000">
      <mc:AlternateContent>
        <mc:Choice Requires="wps">
          <w:drawing>
            <wp:anchor distT="0" distB="0" distL="114300" distR="114300" simplePos="0" relativeHeight="251661312" behindDoc="0" locked="0" layoutInCell="1" allowOverlap="1">
              <wp:simplePos x="0" y="0"/>
              <wp:positionH relativeFrom="column">
                <wp:posOffset>-336547</wp:posOffset>
              </wp:positionH>
              <wp:positionV relativeFrom="paragraph">
                <wp:posOffset>107950</wp:posOffset>
              </wp:positionV>
              <wp:extent cx="6249727" cy="25400"/>
              <wp:effectExtent l="0" t="0" r="0" b="0"/>
              <wp:wrapNone/>
              <wp:docPr id="5" name=""/>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8000"/>
                        <a:headEnd w="sm" len="sm"/>
                        <a:tailEnd w="sm" len="sm"/>
                      </a:ln>
                    </wps:spPr>
                    <wps:bodyPr spcFirstLastPara="1" wrap="square" lIns="91425" tIns="91425" rIns="91425" bIns="91425" anchor="ctr" anchorCtr="0"/>
                  </wps:wsp>
                </a:graphicData>
              </a:graphic>
            </wp:anchor>
          </w:drawing>
        </mc:Choice>
        <mc:Fallback>
          <w:drawing>
            <wp:anchor distT="0" distB="0" distL="114300" distR="114300" simplePos="0" relativeHeight="251662336" behindDoc="0" locked="0" layoutInCell="1" allowOverlap="1">
              <wp:simplePos x="0" y="0"/>
              <wp:positionH relativeFrom="column">
                <wp:posOffset>-336547</wp:posOffset>
              </wp:positionH>
              <wp:positionV relativeFrom="paragraph">
                <wp:posOffset>107950</wp:posOffset>
              </wp:positionV>
              <wp:extent cx="6249727" cy="25400"/>
              <wp:effectExtent l="0" t="0" r="0" b="0"/>
              <wp:wrapNone/>
              <wp:docPr id="1048296477" name="image2.png"/>
              <wp:cNvGraphicFramePr/>
              <a:graphic xmlns:a="http://schemas.openxmlformats.org/drawingml/2006/main">
                <a:graphicData uri="http://schemas.openxmlformats.org/drawingml/2006/picture">
                  <pic:pic xmlns:pic="http://schemas.openxmlformats.org/drawingml/2006/picture">
                    <pic:nvPicPr>
                      <pic:cNvPr id="883396780" name="image2.png"/>
                      <pic:cNvPicPr/>
                    </pic:nvPicPr>
                    <pic:blipFill>
                      <a:blip xmlns:r="http://schemas.openxmlformats.org/officeDocument/2006/relationships" r:embed="rId1"/>
                      <a:stretch>
                        <a:fillRect/>
                      </a:stretch>
                    </pic:blipFill>
                    <pic:spPr>
                      <a:xfrm>
                        <a:off x="0" y="0"/>
                        <a:ext cx="6249727" cy="25400"/>
                      </a:xfrm>
                      <a:prstGeom prst="rect">
                        <a:avLst/>
                      </a:prstGeom>
                    </pic:spPr>
                  </pic:pic>
                </a:graphicData>
              </a:graphic>
            </wp:anchor>
          </w:drawing>
        </mc:Fallback>
      </mc:AlternateContent>
    </w:r>
  </w:p>
  <w:p w:rsidR="00000000" w:rsidRPr="00000000" w:rsidP="00000000" w14:paraId="00000014">
    <w:r w:rsidRPr="00000000">
      <w:rPr>
        <w:rtl w:val="0"/>
      </w:rP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5">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2">
    <w:r w:rsidRPr="00000000">
      <w:drawing>
        <wp:inline distT="0" distB="0" distL="0" distR="0">
          <wp:extent cx="1526058" cy="534121"/>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537033231" name="image4.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sidRPr="00000000">
      <mc:AlternateContent>
        <mc:Choice Requires="wpg">
          <w:drawing>
            <wp:anchor distT="0" distB="0" distL="0" distR="0" simplePos="0" relativeHeight="251658240" behindDoc="1" locked="0" layoutInCell="1" allowOverlap="1">
              <wp:simplePos x="0" y="0"/>
              <wp:positionH relativeFrom="column">
                <wp:posOffset>-863596</wp:posOffset>
              </wp:positionH>
              <wp:positionV relativeFrom="paragraph">
                <wp:posOffset>0</wp:posOffset>
              </wp:positionV>
              <wp:extent cx="7557712" cy="10270358"/>
              <wp:effectExtent l="0" t="0" r="0" b="0"/>
              <wp:wrapNone/>
              <wp:docPr id="6" name=""/>
              <wp:cNvGraphicFramePr/>
              <a:graphic xmlns:a="http://schemas.openxmlformats.org/drawingml/2006/main">
                <a:graphicData uri="http://schemas.microsoft.com/office/word/2010/wordprocessingGroup">
                  <wpg:wgp xmlns:wpg="http://schemas.microsoft.com/office/word/2010/wordprocessingGroup">
                    <wpg:cNvGrpSpPr/>
                    <wpg:grpSpPr>
                      <a:xfrm>
                        <a:off x="1567125" y="0"/>
                        <a:ext cx="7557712" cy="10270358"/>
                        <a:chOff x="1567125" y="0"/>
                        <a:chExt cx="7557750" cy="7560000"/>
                      </a:xfrm>
                    </wpg:grpSpPr>
                    <wpg:grpSp>
                      <wpg:cNvGrpSpPr/>
                      <wpg:grpSpPr>
                        <a:xfrm>
                          <a:off x="1567144" y="0"/>
                          <a:ext cx="7557712" cy="7560000"/>
                          <a:chOff x="1567125" y="0"/>
                          <a:chExt cx="7557750" cy="7560000"/>
                        </a:xfrm>
                      </wpg:grpSpPr>
                      <wps:wsp xmlns:wps="http://schemas.microsoft.com/office/word/2010/wordprocessingShape">
                        <wps:cNvPr id="4" name="Shape 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0" y="0"/>
                            <a:chExt cx="7557712" cy="10270358"/>
                          </a:xfrm>
                        </wpg:grpSpPr>
                        <wps:wsp xmlns:wps="http://schemas.microsoft.com/office/word/2010/wordprocessingShape">
                          <wps:cNvPr id="1524427813" name="Shape 6"/>
                          <wps:cNvSpPr/>
                          <wps:spPr>
                            <a:xfrm>
                              <a:off x="0" y="0"/>
                              <a:ext cx="7557700" cy="1027035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s:wsp xmlns:wps="http://schemas.microsoft.com/office/word/2010/wordprocessingShape">
                          <wps:cNvPr id="7" name="Shape 7"/>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584529891" name="Shape 8"/>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9" name="Shape 9"/>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wgp>
                </a:graphicData>
              </a:graphic>
            </wp:anchor>
          </w:drawing>
        </mc:Choice>
        <mc:Fallback>
          <w:drawing>
            <wp:anchor distT="0" distB="0" distL="0" distR="0" simplePos="0" relativeHeight="251660288" behindDoc="1" locked="0" layoutInCell="1" allowOverlap="1">
              <wp:simplePos x="0" y="0"/>
              <wp:positionH relativeFrom="column">
                <wp:posOffset>-863596</wp:posOffset>
              </wp:positionH>
              <wp:positionV relativeFrom="paragraph">
                <wp:posOffset>0</wp:posOffset>
              </wp:positionV>
              <wp:extent cx="7557712" cy="10270358"/>
              <wp:effectExtent l="0" t="0" r="0" b="0"/>
              <wp:wrapNone/>
              <wp:docPr id="1185133136" name="image3.png"/>
              <wp:cNvGraphicFramePr/>
              <a:graphic xmlns:a="http://schemas.openxmlformats.org/drawingml/2006/main">
                <a:graphicData uri="http://schemas.openxmlformats.org/drawingml/2006/picture">
                  <pic:pic xmlns:pic="http://schemas.openxmlformats.org/drawingml/2006/picture">
                    <pic:nvPicPr>
                      <pic:cNvPr id="1642711579" name="image3.png"/>
                      <pic:cNvPicPr/>
                    </pic:nvPicPr>
                    <pic:blipFill>
                      <a:blip xmlns:r="http://schemas.openxmlformats.org/officeDocument/2006/relationships" r:embed="rId2"/>
                      <a:stretch>
                        <a:fillRect/>
                      </a:stretch>
                    </pic:blipFill>
                    <pic:spPr>
                      <a:xfrm>
                        <a:off x="0" y="0"/>
                        <a:ext cx="7557712" cy="10270358"/>
                      </a:xfrm>
                      <a:prstGeom prst="rect">
                        <a:avLst/>
                      </a:prstGeom>
                    </pic:spPr>
                  </pic:pic>
                </a:graphicData>
              </a:graphic>
            </wp:anchor>
          </w:drawing>
        </mc:Fallback>
      </mc:AlternateContent>
    </w:r>
    <w:r w:rsidRPr="00000000">
      <w:drawing>
        <wp:anchor simplePos="0" relativeHeight="251659264" behindDoc="0" locked="0" layoutInCell="1" allowOverlap="1">
          <wp:simplePos x="0" y="0"/>
          <wp:positionH relativeFrom="rightMargin">
            <wp:align>center</wp:align>
          </wp:positionH>
          <wp:positionV relativeFrom="page">
            <wp:align>center</wp:align>
          </wp:positionV>
          <wp:extent cx="381000" cy="6524625"/>
          <wp:wrapNone/>
          <wp:docPr id="100015"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3"/>
                  <a:stretch>
                    <a:fillRect/>
                  </a:stretch>
                </pic:blipFill>
                <pic:spPr>
                  <a:xfrm>
                    <a:off x="0" y="0"/>
                    <a:ext cx="381000" cy="65246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outlineLvl w:val="0"/>
    </w:pPr>
    <w:rPr>
      <w:rFonts w:ascii="Calibri" w:eastAsia="Calibri" w:hAnsi="Calibri" w:cs="Calibri"/>
      <w:b/>
      <w:bCs/>
      <w:i w:val="0"/>
      <w:iCs w:val="0"/>
      <w:smallCaps w:val="0"/>
      <w:strike w:val="0"/>
      <w:color w:val="000000"/>
      <w:sz w:val="48"/>
      <w:szCs w:val="48"/>
      <w:u w:val="none"/>
      <w:shd w:val="clear" w:color="auto" w:fill="auto"/>
      <w:vertAlign w:val="baseline"/>
    </w:rPr>
  </w:style>
  <w:style w:type="paragraph" w:styleId="Heading2">
    <w:name w:val="heading 2"/>
    <w:basedOn w:val="normal0"/>
    <w:next w:val="normal0"/>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outlineLvl w:val="1"/>
    </w:pPr>
    <w:rPr>
      <w:rFonts w:ascii="Calibri" w:eastAsia="Calibri" w:hAnsi="Calibri" w:cs="Calibri"/>
      <w:b/>
      <w:bCs/>
      <w:i w:val="0"/>
      <w:iCs w:val="0"/>
      <w:smallCaps w:val="0"/>
      <w:strike w:val="0"/>
      <w:color w:val="000000"/>
      <w:sz w:val="36"/>
      <w:szCs w:val="36"/>
      <w:u w:val="none"/>
      <w:shd w:val="clear" w:color="auto" w:fill="auto"/>
      <w:vertAlign w:val="baseline"/>
    </w:rPr>
  </w:style>
  <w:style w:type="paragraph" w:styleId="Heading3">
    <w:name w:val="heading 3"/>
    <w:basedOn w:val="normal0"/>
    <w:next w:val="normal0"/>
    <w:pPr>
      <w:keepNext w:val="0"/>
      <w:keepLines w:val="0"/>
      <w:pageBreakBefore w:val="0"/>
      <w:widowControl/>
      <w:pBdr>
        <w:top w:val="nil"/>
        <w:left w:val="nil"/>
        <w:bottom w:val="nil"/>
        <w:right w:val="nil"/>
        <w:between w:val="nil"/>
      </w:pBdr>
      <w:shd w:val="clear" w:color="auto" w:fill="auto"/>
      <w:spacing w:before="0" w:after="16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7"/>
      <w:szCs w:val="27"/>
      <w:u w:val="none"/>
      <w:shd w:val="clear" w:color="auto" w:fill="auto"/>
      <w:vertAlign w:val="baseline"/>
    </w:rPr>
  </w:style>
  <w:style w:type="paragraph" w:styleId="Heading4">
    <w:name w:val="heading 4"/>
    <w:basedOn w:val="normal0"/>
    <w:next w:val="normal0"/>
    <w:pPr>
      <w:keepNext/>
      <w:keepLines/>
      <w:pageBreakBefore w:val="0"/>
      <w:widowControl/>
      <w:pBdr>
        <w:top w:val="nil"/>
        <w:left w:val="nil"/>
        <w:bottom w:val="nil"/>
        <w:right w:val="nil"/>
        <w:between w:val="nil"/>
      </w:pBdr>
      <w:shd w:val="clear" w:color="auto" w:fill="auto"/>
      <w:spacing w:before="240" w:after="40" w:line="259" w:lineRule="auto"/>
      <w:ind w:left="0" w:right="0" w:firstLine="0"/>
      <w:jc w:val="left"/>
      <w:outlineLvl w:val="3"/>
    </w:pPr>
    <w:rPr>
      <w:rFonts w:ascii="Calibri" w:eastAsia="Calibri" w:hAnsi="Calibri" w:cs="Calibri"/>
      <w:b/>
      <w:bCs/>
      <w:i w:val="0"/>
      <w:iCs w:val="0"/>
      <w:smallCaps w:val="0"/>
      <w:strike w:val="0"/>
      <w:color w:val="000000"/>
      <w:sz w:val="24"/>
      <w:szCs w:val="24"/>
      <w:u w:val="none"/>
      <w:shd w:val="clear" w:color="auto" w:fill="auto"/>
      <w:vertAlign w:val="baseline"/>
    </w:rPr>
  </w:style>
  <w:style w:type="paragraph" w:styleId="Heading5">
    <w:name w:val="heading 5"/>
    <w:basedOn w:val="normal0"/>
    <w:next w:val="normal0"/>
    <w:pPr>
      <w:keepNext/>
      <w:keepLines/>
      <w:pageBreakBefore w:val="0"/>
      <w:widowControl/>
      <w:pBdr>
        <w:top w:val="nil"/>
        <w:left w:val="nil"/>
        <w:bottom w:val="nil"/>
        <w:right w:val="nil"/>
        <w:between w:val="nil"/>
      </w:pBdr>
      <w:shd w:val="clear" w:color="auto" w:fill="auto"/>
      <w:spacing w:before="220" w:after="40" w:line="259" w:lineRule="auto"/>
      <w:ind w:left="0" w:right="0" w:firstLine="0"/>
      <w:jc w:val="left"/>
      <w:outlineLvl w:val="4"/>
    </w:pPr>
    <w:rPr>
      <w:rFonts w:ascii="Calibri" w:eastAsia="Calibri" w:hAnsi="Calibri" w:cs="Calibri"/>
      <w:b/>
      <w:bCs/>
      <w:i w:val="0"/>
      <w:iCs w:val="0"/>
      <w:smallCaps w:val="0"/>
      <w:strike w:val="0"/>
      <w:color w:val="000000"/>
      <w:sz w:val="22"/>
      <w:szCs w:val="22"/>
      <w:u w:val="none"/>
      <w:shd w:val="clear" w:color="auto" w:fill="auto"/>
      <w:vertAlign w:val="baseline"/>
    </w:rPr>
  </w:style>
  <w:style w:type="paragraph" w:styleId="Heading6">
    <w:name w:val="heading 6"/>
    <w:basedOn w:val="normal0"/>
    <w:next w:val="normal0"/>
    <w:pPr>
      <w:keepNext/>
      <w:keepLines/>
      <w:pageBreakBefore w:val="0"/>
      <w:widowControl/>
      <w:pBdr>
        <w:top w:val="nil"/>
        <w:left w:val="nil"/>
        <w:bottom w:val="nil"/>
        <w:right w:val="nil"/>
        <w:between w:val="nil"/>
      </w:pBdr>
      <w:shd w:val="clear" w:color="auto" w:fill="auto"/>
      <w:spacing w:before="200" w:after="40" w:line="259" w:lineRule="auto"/>
      <w:ind w:left="0" w:right="0" w:firstLine="0"/>
      <w:jc w:val="left"/>
      <w:outlineLvl w:val="5"/>
    </w:pPr>
    <w:rPr>
      <w:rFonts w:ascii="Calibri" w:eastAsia="Calibri" w:hAnsi="Calibri" w:cs="Calibri"/>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0"/>
    <w:next w:val="normal0"/>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pPr>
    <w:rPr>
      <w:rFonts w:ascii="Calibri" w:eastAsia="Calibri" w:hAnsi="Calibri" w:cs="Calibri"/>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paragraph" w:styleId="Subtitle">
    <w:name w:val="Subtitle"/>
    <w:basedOn w:val="normal0"/>
    <w:next w:val="normal0"/>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QnMDd7vX4Fn6RQF9dfmhSDSj2w==">CgMxLjAyDmgudXN4b3cwdmF4dzhhOAByITFMU0NlU3hRQTBMZE9UbmF2RVQ2TkZpU3BDNTN6dEc4NA==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