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6 de outubro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Substitutivo Nº 1 ao Projeto de Lei Nº 190/2025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Substitutivo Nº 1 ao Projeto de Lei Nº 190/2025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validade do laudo médico que ateste deficiência permanente para fins de benefícios municipais, altera a Lei nº 4.163, de 4 de maio de 2006, e revoga expressão da Lei nº 4.765, de 24 de dezembro de 2008.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3915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39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