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285/2026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autorização ao executivo municipal para promover a abertura de crédito adicional especial no orçamento vigente no valor de R$ 16.163,01 (dezesseis mil, cento e sessenta e três reais e um centavos),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6 de outubro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