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8B4E21" w:rsidP="008B4E21" w14:paraId="05A8D9D9" w14:textId="77777777">
      <w:pPr>
        <w:spacing w:after="240" w:line="336" w:lineRule="auto"/>
        <w:rPr>
          <w:rFonts w:ascii="Arial" w:eastAsia="Arial" w:hAnsi="Arial" w:cs="Arial"/>
          <w:b/>
          <w:bCs/>
          <w:sz w:val="24"/>
          <w:szCs w:val="24"/>
        </w:rPr>
      </w:pPr>
    </w:p>
    <w:p w:rsidR="008B4E21" w:rsidRPr="008B4E21" w:rsidP="008B4E21" w14:paraId="0C767EE7" w14:textId="4A6E5467">
      <w:pPr>
        <w:spacing w:after="240" w:line="336" w:lineRule="auto"/>
        <w:rPr>
          <w:rFonts w:ascii="Arial" w:eastAsia="Arial" w:hAnsi="Arial" w:cs="Arial"/>
          <w:sz w:val="24"/>
          <w:szCs w:val="24"/>
        </w:rPr>
      </w:pPr>
      <w:r w:rsidRPr="008B4E21">
        <w:rPr>
          <w:rFonts w:ascii="Arial" w:eastAsia="Arial" w:hAnsi="Arial" w:cs="Arial"/>
          <w:b/>
          <w:bCs/>
          <w:sz w:val="24"/>
          <w:szCs w:val="24"/>
        </w:rPr>
        <w:t>EXMO. SR. PRESIDENTE DA CÂMARA MUNICIPAL DE SUMARÉ</w:t>
      </w:r>
    </w:p>
    <w:p w:rsidR="008B4E21" w:rsidRPr="008B4E21" w:rsidP="008B4E21" w14:paraId="38EF2B2D" w14:textId="77777777">
      <w:pPr>
        <w:spacing w:after="240" w:line="336" w:lineRule="auto"/>
        <w:ind w:left="720" w:firstLine="720"/>
        <w:jc w:val="both"/>
        <w:rPr>
          <w:rFonts w:ascii="Arial" w:eastAsia="Arial" w:hAnsi="Arial" w:cs="Arial"/>
          <w:sz w:val="24"/>
          <w:szCs w:val="24"/>
        </w:rPr>
      </w:pPr>
      <w:r w:rsidRPr="008B4E21">
        <w:rPr>
          <w:rFonts w:ascii="Arial" w:eastAsia="Arial" w:hAnsi="Arial" w:cs="Arial"/>
          <w:sz w:val="24"/>
          <w:szCs w:val="24"/>
        </w:rPr>
        <w:t xml:space="preserve">Apresento respeitosamente o seguinte </w:t>
      </w:r>
      <w:r w:rsidRPr="008B4E21">
        <w:rPr>
          <w:rFonts w:ascii="Arial" w:eastAsia="Arial" w:hAnsi="Arial" w:cs="Arial"/>
          <w:b/>
          <w:bCs/>
          <w:sz w:val="24"/>
          <w:szCs w:val="24"/>
        </w:rPr>
        <w:t>SUBSTITUTIVO</w:t>
      </w:r>
      <w:r w:rsidRPr="008B4E21">
        <w:rPr>
          <w:rFonts w:ascii="Arial" w:eastAsia="Arial" w:hAnsi="Arial" w:cs="Arial"/>
          <w:sz w:val="24"/>
          <w:szCs w:val="24"/>
        </w:rPr>
        <w:t xml:space="preserve"> ao Projeto de Lei nº 190/2025, que:</w:t>
      </w:r>
    </w:p>
    <w:p w:rsidR="008B4E21" w:rsidRPr="008B4E21" w:rsidP="008B4E21" w14:paraId="4A582D39" w14:textId="77777777">
      <w:pPr>
        <w:spacing w:before="120" w:after="0" w:line="240" w:lineRule="auto"/>
        <w:ind w:left="4956"/>
        <w:jc w:val="both"/>
        <w:rPr>
          <w:rFonts w:ascii="Arial" w:eastAsia="Arial" w:hAnsi="Arial" w:cs="Arial"/>
          <w:sz w:val="24"/>
          <w:szCs w:val="24"/>
        </w:rPr>
      </w:pPr>
      <w:r w:rsidRPr="008B4E21">
        <w:rPr>
          <w:rFonts w:ascii="Arial" w:eastAsia="Arial" w:hAnsi="Arial" w:cs="Arial"/>
          <w:b/>
          <w:bCs/>
          <w:sz w:val="24"/>
          <w:szCs w:val="24"/>
        </w:rPr>
        <w:t>"Dispõe sobre a validade do laudo médico que ateste deficiência permanente para fins de benefícios municipais, altera a Lei nº 4.163, de 4 de maio de 2006, e revoga expressão da Lei nº 4.765, de 24 de dezembro de 2008."</w:t>
      </w:r>
    </w:p>
    <w:p w:rsidR="008B4E21" w:rsidRPr="008B4E21" w:rsidP="008B4E21" w14:paraId="33CBAF50" w14:textId="77777777">
      <w:pPr>
        <w:spacing w:after="360" w:line="336" w:lineRule="auto"/>
        <w:jc w:val="right"/>
        <w:rPr>
          <w:rFonts w:ascii="Arial" w:eastAsia="Arial" w:hAnsi="Arial" w:cs="Arial"/>
          <w:sz w:val="24"/>
          <w:szCs w:val="24"/>
        </w:rPr>
      </w:pPr>
      <w:r w:rsidRPr="008B4E21">
        <w:rPr>
          <w:rFonts w:ascii="Arial" w:eastAsia="Arial" w:hAnsi="Arial" w:cs="Arial"/>
          <w:b/>
          <w:bCs/>
          <w:sz w:val="24"/>
          <w:szCs w:val="24"/>
        </w:rPr>
        <w:t>Autor: César Bianchi</w:t>
      </w:r>
    </w:p>
    <w:p w:rsidR="008B4E21" w:rsidRPr="008B4E21" w:rsidP="008B4E21" w14:paraId="28114E1B" w14:textId="77777777">
      <w:pPr>
        <w:spacing w:after="360" w:line="336" w:lineRule="auto"/>
        <w:ind w:firstLine="1418"/>
        <w:jc w:val="both"/>
        <w:rPr>
          <w:rFonts w:ascii="Arial" w:eastAsia="Arial" w:hAnsi="Arial" w:cs="Arial"/>
          <w:sz w:val="24"/>
          <w:szCs w:val="24"/>
        </w:rPr>
      </w:pPr>
      <w:r w:rsidRPr="008B4E21">
        <w:rPr>
          <w:rFonts w:ascii="Arial" w:eastAsia="Arial" w:hAnsi="Arial" w:cs="Arial"/>
          <w:sz w:val="24"/>
          <w:szCs w:val="24"/>
        </w:rPr>
        <w:t>A Câmara Municipal de Sumaré aprovou e eu sanciono e promulgo a presente Lei:</w:t>
      </w:r>
    </w:p>
    <w:p w:rsidR="008B4E21" w:rsidRPr="008B4E21" w:rsidP="008B4E21" w14:paraId="3AEE2492"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Art. 1º</w:t>
      </w:r>
      <w:r w:rsidRPr="008B4E21">
        <w:rPr>
          <w:rFonts w:ascii="Arial" w:eastAsia="Arial" w:hAnsi="Arial" w:cs="Arial"/>
          <w:sz w:val="24"/>
          <w:szCs w:val="24"/>
        </w:rPr>
        <w:t xml:space="preserve"> O laudo médico que ateste deficiência de caráter permanente terá validade por prazo indeterminado, ainda que emitido antes desta Lei ou que nele conste prazo diverso, para fins de acesso e manutenção de programa, serviço ou benefício instituído ou executado pelo Município, diretamente ou por prestador de serviço público municipal (benefício municipal), inclusive quando destinado a acompanhante, familiar, responsável ou cuidador da pessoa com deficiência.</w:t>
      </w:r>
    </w:p>
    <w:p w:rsidR="008B4E21" w:rsidRPr="008B4E21" w:rsidP="008B4E21" w14:paraId="5CFDC8CF"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 1º</w:t>
      </w:r>
      <w:r w:rsidRPr="008B4E21">
        <w:rPr>
          <w:rFonts w:ascii="Arial" w:eastAsia="Arial" w:hAnsi="Arial" w:cs="Arial"/>
          <w:sz w:val="24"/>
          <w:szCs w:val="24"/>
        </w:rPr>
        <w:t xml:space="preserve"> Para os fins desta Lei, considera-se deficiência a definida na legislação federal e permanente aquela que ocorreu ou se estabilizou durante período de tempo suficiente para não permitir recuperação ou ter probabilidade de que se altere, apesar de novos tratamentos.</w:t>
      </w:r>
    </w:p>
    <w:p w:rsidR="008B4E21" w:rsidRPr="008B4E21" w:rsidP="008B4E21" w14:paraId="0F0D89E4"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 2º</w:t>
      </w:r>
      <w:r w:rsidRPr="008B4E21">
        <w:rPr>
          <w:rFonts w:ascii="Arial" w:eastAsia="Arial" w:hAnsi="Arial" w:cs="Arial"/>
          <w:sz w:val="24"/>
          <w:szCs w:val="24"/>
        </w:rPr>
        <w:t xml:space="preserve"> Presume-se permanente, salvo prova em contrário apurada na forma do § 2º do art. 5º, a deficiência decorrente de transtorno do espectro autista ou de síndrome de Down, bem como aquela cujo caráter permanente conste de documento oficial expedido por órgão ou entidade pública.</w:t>
      </w:r>
    </w:p>
    <w:p w:rsidR="008B4E21" w:rsidRPr="008B4E21" w:rsidP="008B4E21" w14:paraId="156F9765"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 3º</w:t>
      </w:r>
      <w:r w:rsidRPr="008B4E21">
        <w:rPr>
          <w:rFonts w:ascii="Arial" w:eastAsia="Arial" w:hAnsi="Arial" w:cs="Arial"/>
          <w:sz w:val="24"/>
          <w:szCs w:val="24"/>
        </w:rPr>
        <w:t xml:space="preserve"> O disposto nesta Lei não dispensa os demais requisitos do benefício municipal, inclusive os de renda, de residência e, quando condição do benefício, de natureza, grau ou nível de apoio da deficiência, nem a avaliação biopsicossocial, </w:t>
      </w:r>
      <w:r w:rsidRPr="008B4E21">
        <w:rPr>
          <w:rFonts w:ascii="Arial" w:eastAsia="Arial" w:hAnsi="Arial" w:cs="Arial"/>
          <w:sz w:val="24"/>
          <w:szCs w:val="24"/>
        </w:rPr>
        <w:t>quando exigível nos termos da legislação federal ou estadual, e não autoriza a exigência de laudo médico onde a legislação não a preveja.</w:t>
      </w:r>
    </w:p>
    <w:p w:rsidR="008B4E21" w:rsidRPr="008B4E21" w:rsidP="008B4E21" w14:paraId="750FAD91"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 4º</w:t>
      </w:r>
      <w:r w:rsidRPr="008B4E21">
        <w:rPr>
          <w:rFonts w:ascii="Arial" w:eastAsia="Arial" w:hAnsi="Arial" w:cs="Arial"/>
          <w:sz w:val="24"/>
          <w:szCs w:val="24"/>
        </w:rPr>
        <w:t xml:space="preserve"> Esta Lei não se aplica aos benefícios, cadastros, perícias e avaliações regidos por legislação federal ou estadual, aos direitos decorrentes do regime jurídico dos servidores públicos municipais e ao seu regime próprio de previdência, nem à avaliação de candidatos em concursos públicos e processos seletivos.</w:t>
      </w:r>
    </w:p>
    <w:p w:rsidR="008B4E21" w:rsidRPr="008B4E21" w:rsidP="008B4E21" w14:paraId="7582967F"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Art. 2º</w:t>
      </w:r>
      <w:r w:rsidRPr="008B4E21">
        <w:rPr>
          <w:rFonts w:ascii="Arial" w:eastAsia="Arial" w:hAnsi="Arial" w:cs="Arial"/>
          <w:sz w:val="24"/>
          <w:szCs w:val="24"/>
        </w:rPr>
        <w:t xml:space="preserve"> Em relação ao laudo médico de que trata o art. 1º, e ressalvado o disposto no § 2º do art. 5º, é vedado aos órgãos e entidades da Administração Pública municipal direta e indireta e, quanto à comprovação da condição de pessoa com deficiência, aos prestadores de serviço público municipal:</w:t>
      </w:r>
    </w:p>
    <w:p w:rsidR="008B4E21" w:rsidRPr="008B4E21" w:rsidP="008B4E21" w14:paraId="2DD48C09" w14:textId="77777777">
      <w:pPr>
        <w:spacing w:line="336" w:lineRule="auto"/>
        <w:ind w:firstLine="1418"/>
        <w:jc w:val="both"/>
        <w:rPr>
          <w:rFonts w:ascii="Arial" w:eastAsia="Arial" w:hAnsi="Arial" w:cs="Arial"/>
          <w:sz w:val="24"/>
          <w:szCs w:val="24"/>
        </w:rPr>
      </w:pPr>
      <w:r w:rsidRPr="008B4E21">
        <w:rPr>
          <w:rFonts w:ascii="Arial" w:eastAsia="Arial" w:hAnsi="Arial" w:cs="Arial"/>
          <w:sz w:val="24"/>
          <w:szCs w:val="24"/>
        </w:rPr>
        <w:t xml:space="preserve">I – </w:t>
      </w:r>
      <w:r w:rsidRPr="008B4E21">
        <w:rPr>
          <w:rFonts w:ascii="Arial" w:eastAsia="Arial" w:hAnsi="Arial" w:cs="Arial"/>
          <w:sz w:val="24"/>
          <w:szCs w:val="24"/>
        </w:rPr>
        <w:t>exigir</w:t>
      </w:r>
      <w:r w:rsidRPr="008B4E21">
        <w:rPr>
          <w:rFonts w:ascii="Arial" w:eastAsia="Arial" w:hAnsi="Arial" w:cs="Arial"/>
          <w:sz w:val="24"/>
          <w:szCs w:val="24"/>
        </w:rPr>
        <w:t xml:space="preserve"> nova emissão, revalidação, atualização ou reapresentação periódica do laudo médico para comprovar a persistência da deficiência, inclusive na renovação de benefício municipal ou de carteira ou documento de identificação;</w:t>
      </w:r>
    </w:p>
    <w:p w:rsidR="008B4E21" w:rsidRPr="008B4E21" w:rsidP="008B4E21" w14:paraId="4E0CFF86" w14:textId="77777777">
      <w:pPr>
        <w:spacing w:line="336" w:lineRule="auto"/>
        <w:ind w:firstLine="1418"/>
        <w:jc w:val="both"/>
        <w:rPr>
          <w:rFonts w:ascii="Arial" w:eastAsia="Arial" w:hAnsi="Arial" w:cs="Arial"/>
          <w:sz w:val="24"/>
          <w:szCs w:val="24"/>
        </w:rPr>
      </w:pPr>
      <w:r w:rsidRPr="008B4E21">
        <w:rPr>
          <w:rFonts w:ascii="Arial" w:eastAsia="Arial" w:hAnsi="Arial" w:cs="Arial"/>
          <w:sz w:val="24"/>
          <w:szCs w:val="24"/>
        </w:rPr>
        <w:t xml:space="preserve">II – </w:t>
      </w:r>
      <w:r w:rsidRPr="008B4E21">
        <w:rPr>
          <w:rFonts w:ascii="Arial" w:eastAsia="Arial" w:hAnsi="Arial" w:cs="Arial"/>
          <w:sz w:val="24"/>
          <w:szCs w:val="24"/>
        </w:rPr>
        <w:t>fixar</w:t>
      </w:r>
      <w:r w:rsidRPr="008B4E21">
        <w:rPr>
          <w:rFonts w:ascii="Arial" w:eastAsia="Arial" w:hAnsi="Arial" w:cs="Arial"/>
          <w:sz w:val="24"/>
          <w:szCs w:val="24"/>
        </w:rPr>
        <w:t xml:space="preserve"> prazo de validade para o laudo médico, não se aplicando as disposições de formulários, editais, regulamentos e atos administrativos que o façam;</w:t>
      </w:r>
    </w:p>
    <w:p w:rsidR="008B4E21" w:rsidRPr="008B4E21" w:rsidP="008B4E21" w14:paraId="63B391BE" w14:textId="77777777">
      <w:pPr>
        <w:spacing w:line="336" w:lineRule="auto"/>
        <w:ind w:firstLine="1418"/>
        <w:jc w:val="both"/>
        <w:rPr>
          <w:rFonts w:ascii="Arial" w:eastAsia="Arial" w:hAnsi="Arial" w:cs="Arial"/>
          <w:sz w:val="24"/>
          <w:szCs w:val="24"/>
        </w:rPr>
      </w:pPr>
      <w:r w:rsidRPr="008B4E21">
        <w:rPr>
          <w:rFonts w:ascii="Arial" w:eastAsia="Arial" w:hAnsi="Arial" w:cs="Arial"/>
          <w:sz w:val="24"/>
          <w:szCs w:val="24"/>
        </w:rPr>
        <w:t>III – recusar laudo médico em razão da data ou do local de sua emissão, ou de ter sido emitido pela rede privada de saúde;</w:t>
      </w:r>
    </w:p>
    <w:p w:rsidR="008B4E21" w:rsidRPr="008B4E21" w:rsidP="008B4E21" w14:paraId="7AEB0C99" w14:textId="77777777">
      <w:pPr>
        <w:spacing w:line="336" w:lineRule="auto"/>
        <w:ind w:firstLine="1418"/>
        <w:jc w:val="both"/>
        <w:rPr>
          <w:rFonts w:ascii="Arial" w:eastAsia="Arial" w:hAnsi="Arial" w:cs="Arial"/>
          <w:sz w:val="24"/>
          <w:szCs w:val="24"/>
        </w:rPr>
      </w:pPr>
      <w:r w:rsidRPr="008B4E21">
        <w:rPr>
          <w:rFonts w:ascii="Arial" w:eastAsia="Arial" w:hAnsi="Arial" w:cs="Arial"/>
          <w:sz w:val="24"/>
          <w:szCs w:val="24"/>
        </w:rPr>
        <w:t xml:space="preserve">IV – </w:t>
      </w:r>
      <w:r w:rsidRPr="008B4E21">
        <w:rPr>
          <w:rFonts w:ascii="Arial" w:eastAsia="Arial" w:hAnsi="Arial" w:cs="Arial"/>
          <w:sz w:val="24"/>
          <w:szCs w:val="24"/>
        </w:rPr>
        <w:t>exigir</w:t>
      </w:r>
      <w:r w:rsidRPr="008B4E21">
        <w:rPr>
          <w:rFonts w:ascii="Arial" w:eastAsia="Arial" w:hAnsi="Arial" w:cs="Arial"/>
          <w:sz w:val="24"/>
          <w:szCs w:val="24"/>
        </w:rPr>
        <w:t xml:space="preserve"> a reapresentação de laudo médico ou de documento que conste de processo, sistema ou cadastro a que tenham acesso; e</w:t>
      </w:r>
    </w:p>
    <w:p w:rsidR="008B4E21" w:rsidRPr="008B4E21" w:rsidP="008B4E21" w14:paraId="264F3CF9" w14:textId="77777777">
      <w:pPr>
        <w:spacing w:line="336" w:lineRule="auto"/>
        <w:ind w:firstLine="1418"/>
        <w:jc w:val="both"/>
        <w:rPr>
          <w:rFonts w:ascii="Arial" w:eastAsia="Arial" w:hAnsi="Arial" w:cs="Arial"/>
          <w:sz w:val="24"/>
          <w:szCs w:val="24"/>
        </w:rPr>
      </w:pPr>
      <w:r w:rsidRPr="008B4E21">
        <w:rPr>
          <w:rFonts w:ascii="Arial" w:eastAsia="Arial" w:hAnsi="Arial" w:cs="Arial"/>
          <w:sz w:val="24"/>
          <w:szCs w:val="24"/>
        </w:rPr>
        <w:t xml:space="preserve">V – </w:t>
      </w:r>
      <w:r w:rsidRPr="008B4E21">
        <w:rPr>
          <w:rFonts w:ascii="Arial" w:eastAsia="Arial" w:hAnsi="Arial" w:cs="Arial"/>
          <w:sz w:val="24"/>
          <w:szCs w:val="24"/>
        </w:rPr>
        <w:t>indeferir, suspender</w:t>
      </w:r>
      <w:r w:rsidRPr="008B4E21">
        <w:rPr>
          <w:rFonts w:ascii="Arial" w:eastAsia="Arial" w:hAnsi="Arial" w:cs="Arial"/>
          <w:sz w:val="24"/>
          <w:szCs w:val="24"/>
        </w:rPr>
        <w:t xml:space="preserve"> ou cancelar benefício municipal exclusivamente em razão da ausência de renovação do laudo médico.</w:t>
      </w:r>
    </w:p>
    <w:p w:rsidR="008B4E21" w:rsidRPr="008B4E21" w:rsidP="008B4E21" w14:paraId="48E2EBCE"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 1º</w:t>
      </w:r>
      <w:r w:rsidRPr="008B4E21">
        <w:rPr>
          <w:rFonts w:ascii="Arial" w:eastAsia="Arial" w:hAnsi="Arial" w:cs="Arial"/>
          <w:sz w:val="24"/>
          <w:szCs w:val="24"/>
        </w:rPr>
        <w:t xml:space="preserve"> As vedações deste artigo e do § 2º do art. 3º aplicam-se ainda que a exigência esteja prevista em lei municipal específica, inclusive nas renovações de que tratam o § 2º do art. 1º da Lei nº 7.136, de 25 de agosto de 2023, e o parágrafo único do art. 4º das Leis nº 7.365 e nº 7.366, ambas de 16 de janeiro de 2025, que permanecem exigíveis quanto aos demais requisitos, servindo o laudo já apresentado para as renovações subsequentes.</w:t>
      </w:r>
    </w:p>
    <w:p w:rsidR="008B4E21" w:rsidRPr="008B4E21" w:rsidP="008B4E21" w14:paraId="447D2563"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 2º</w:t>
      </w:r>
      <w:r w:rsidRPr="008B4E21">
        <w:rPr>
          <w:rFonts w:ascii="Arial" w:eastAsia="Arial" w:hAnsi="Arial" w:cs="Arial"/>
          <w:sz w:val="24"/>
          <w:szCs w:val="24"/>
        </w:rPr>
        <w:t xml:space="preserve"> A recusa de laudo médico ou de documento e a exigência de renovação serão formalizadas por escrito, com a indicação do fundamento legal, sempre que a pessoa interessada o solicitar, para fins de recurso ou reclamação.</w:t>
      </w:r>
    </w:p>
    <w:p w:rsidR="008B4E21" w:rsidRPr="008B4E21" w:rsidP="008B4E21" w14:paraId="101021DB"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Art. 3º</w:t>
      </w:r>
      <w:r w:rsidRPr="008B4E21">
        <w:rPr>
          <w:rFonts w:ascii="Arial" w:eastAsia="Arial" w:hAnsi="Arial" w:cs="Arial"/>
          <w:sz w:val="24"/>
          <w:szCs w:val="24"/>
        </w:rPr>
        <w:t xml:space="preserve"> Será aceito como laudo médico o relatório, o laudo ou o atestado que, emitido por médico da rede pública ou privada de saúde, identifique a pessoa com deficiência e o profissional, com o número e a unidade federativa de sua inscrição no Conselho Regional de Medicina, e descreva a deficiência e, ressalvada a presunção do § 2º do art. 1º, o seu caráter permanente.</w:t>
      </w:r>
    </w:p>
    <w:p w:rsidR="008B4E21" w:rsidRPr="008B4E21" w:rsidP="008B4E21" w14:paraId="55EF8EB2"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 1º</w:t>
      </w:r>
      <w:r w:rsidRPr="008B4E21">
        <w:rPr>
          <w:rFonts w:ascii="Arial" w:eastAsia="Arial" w:hAnsi="Arial" w:cs="Arial"/>
          <w:sz w:val="24"/>
          <w:szCs w:val="24"/>
        </w:rPr>
        <w:t xml:space="preserve"> O laudo médico será apresentado em original, em cópia simples acompanhada do original ou cuja autenticidade já tenha sido atestada por agente público, ou em documento eletrônico assinado na forma da legislação federal, inclusive o registrado em sistema oficial de informação em saúde.</w:t>
      </w:r>
    </w:p>
    <w:p w:rsidR="008B4E21" w:rsidRPr="008B4E21" w:rsidP="008B4E21" w14:paraId="62422F15"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 2º</w:t>
      </w:r>
      <w:r w:rsidRPr="008B4E21">
        <w:rPr>
          <w:rFonts w:ascii="Arial" w:eastAsia="Arial" w:hAnsi="Arial" w:cs="Arial"/>
          <w:sz w:val="24"/>
          <w:szCs w:val="24"/>
        </w:rPr>
        <w:t xml:space="preserve"> É vedado exigir:</w:t>
      </w:r>
    </w:p>
    <w:p w:rsidR="008B4E21" w:rsidRPr="008B4E21" w:rsidP="008B4E21" w14:paraId="20153277" w14:textId="77777777">
      <w:pPr>
        <w:spacing w:line="336" w:lineRule="auto"/>
        <w:ind w:firstLine="1418"/>
        <w:jc w:val="both"/>
        <w:rPr>
          <w:rFonts w:ascii="Arial" w:eastAsia="Arial" w:hAnsi="Arial" w:cs="Arial"/>
          <w:sz w:val="24"/>
          <w:szCs w:val="24"/>
        </w:rPr>
      </w:pPr>
      <w:r w:rsidRPr="008B4E21">
        <w:rPr>
          <w:rFonts w:ascii="Arial" w:eastAsia="Arial" w:hAnsi="Arial" w:cs="Arial"/>
          <w:sz w:val="24"/>
          <w:szCs w:val="24"/>
        </w:rPr>
        <w:t xml:space="preserve">I – </w:t>
      </w:r>
      <w:r w:rsidRPr="008B4E21">
        <w:rPr>
          <w:rFonts w:ascii="Arial" w:eastAsia="Arial" w:hAnsi="Arial" w:cs="Arial"/>
          <w:sz w:val="24"/>
          <w:szCs w:val="24"/>
        </w:rPr>
        <w:t>o</w:t>
      </w:r>
      <w:r w:rsidRPr="008B4E21">
        <w:rPr>
          <w:rFonts w:ascii="Arial" w:eastAsia="Arial" w:hAnsi="Arial" w:cs="Arial"/>
          <w:sz w:val="24"/>
          <w:szCs w:val="24"/>
        </w:rPr>
        <w:t xml:space="preserve"> código da Classificação Internacional de Doenças (CID);</w:t>
      </w:r>
    </w:p>
    <w:p w:rsidR="008B4E21" w:rsidRPr="008B4E21" w:rsidP="008B4E21" w14:paraId="683DC00B" w14:textId="77777777">
      <w:pPr>
        <w:spacing w:line="336" w:lineRule="auto"/>
        <w:ind w:firstLine="1418"/>
        <w:jc w:val="both"/>
        <w:rPr>
          <w:rFonts w:ascii="Arial" w:eastAsia="Arial" w:hAnsi="Arial" w:cs="Arial"/>
          <w:sz w:val="24"/>
          <w:szCs w:val="24"/>
        </w:rPr>
      </w:pPr>
      <w:r w:rsidRPr="008B4E21">
        <w:rPr>
          <w:rFonts w:ascii="Arial" w:eastAsia="Arial" w:hAnsi="Arial" w:cs="Arial"/>
          <w:sz w:val="24"/>
          <w:szCs w:val="24"/>
        </w:rPr>
        <w:t xml:space="preserve">II – </w:t>
      </w:r>
      <w:r w:rsidRPr="008B4E21">
        <w:rPr>
          <w:rFonts w:ascii="Arial" w:eastAsia="Arial" w:hAnsi="Arial" w:cs="Arial"/>
          <w:sz w:val="24"/>
          <w:szCs w:val="24"/>
        </w:rPr>
        <w:t>informação</w:t>
      </w:r>
      <w:r w:rsidRPr="008B4E21">
        <w:rPr>
          <w:rFonts w:ascii="Arial" w:eastAsia="Arial" w:hAnsi="Arial" w:cs="Arial"/>
          <w:sz w:val="24"/>
          <w:szCs w:val="24"/>
        </w:rPr>
        <w:t xml:space="preserve"> não prevista no caput, salvo a exigida pela legislação federal ou estadual ou o grau, o nível de apoio ou característica específica da deficiência que seja condição do benefício municipal; e</w:t>
      </w:r>
    </w:p>
    <w:p w:rsidR="008B4E21" w:rsidRPr="008B4E21" w:rsidP="008B4E21" w14:paraId="23FD4468" w14:textId="77777777">
      <w:pPr>
        <w:spacing w:line="336" w:lineRule="auto"/>
        <w:ind w:firstLine="1418"/>
        <w:jc w:val="both"/>
        <w:rPr>
          <w:rFonts w:ascii="Arial" w:eastAsia="Arial" w:hAnsi="Arial" w:cs="Arial"/>
          <w:sz w:val="24"/>
          <w:szCs w:val="24"/>
        </w:rPr>
      </w:pPr>
      <w:r w:rsidRPr="008B4E21">
        <w:rPr>
          <w:rFonts w:ascii="Arial" w:eastAsia="Arial" w:hAnsi="Arial" w:cs="Arial"/>
          <w:sz w:val="24"/>
          <w:szCs w:val="24"/>
        </w:rPr>
        <w:t>III – reconhecimento de firma ou autenticação em cartório.</w:t>
      </w:r>
    </w:p>
    <w:p w:rsidR="008B4E21" w:rsidRPr="008B4E21" w:rsidP="008B4E21" w14:paraId="46361E86"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 3º</w:t>
      </w:r>
      <w:r w:rsidRPr="008B4E21">
        <w:rPr>
          <w:rFonts w:ascii="Arial" w:eastAsia="Arial" w:hAnsi="Arial" w:cs="Arial"/>
          <w:sz w:val="24"/>
          <w:szCs w:val="24"/>
        </w:rPr>
        <w:t xml:space="preserve"> É vedada a divulgação, inclusive em listas, editais e publicações oficiais, do diagnóstico, do código da CID ou da descrição da deficiência.</w:t>
      </w:r>
    </w:p>
    <w:p w:rsidR="008B4E21" w:rsidRPr="008B4E21" w:rsidP="008B4E21" w14:paraId="253DE53B"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 4º</w:t>
      </w:r>
      <w:r w:rsidRPr="008B4E21">
        <w:rPr>
          <w:rFonts w:ascii="Arial" w:eastAsia="Arial" w:hAnsi="Arial" w:cs="Arial"/>
          <w:sz w:val="24"/>
          <w:szCs w:val="24"/>
        </w:rPr>
        <w:t xml:space="preserve"> O disposto nos </w:t>
      </w:r>
      <w:r w:rsidRPr="008B4E21">
        <w:rPr>
          <w:rFonts w:ascii="Arial" w:eastAsia="Arial" w:hAnsi="Arial" w:cs="Arial"/>
          <w:sz w:val="24"/>
          <w:szCs w:val="24"/>
        </w:rPr>
        <w:t>arts</w:t>
      </w:r>
      <w:r w:rsidRPr="008B4E21">
        <w:rPr>
          <w:rFonts w:ascii="Arial" w:eastAsia="Arial" w:hAnsi="Arial" w:cs="Arial"/>
          <w:sz w:val="24"/>
          <w:szCs w:val="24"/>
        </w:rPr>
        <w:t>. 1º e 2º aplica-se aos exames e às avaliações de profissionais de saúde habilitados que instruam o laudo médico.</w:t>
      </w:r>
    </w:p>
    <w:p w:rsidR="008B4E21" w:rsidRPr="008B4E21" w:rsidP="008B4E21" w14:paraId="528FC726"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Art. 4º</w:t>
      </w:r>
      <w:r w:rsidRPr="008B4E21">
        <w:rPr>
          <w:rFonts w:ascii="Arial" w:eastAsia="Arial" w:hAnsi="Arial" w:cs="Arial"/>
          <w:sz w:val="24"/>
          <w:szCs w:val="24"/>
        </w:rPr>
        <w:t xml:space="preserve"> Comprova a condição de pessoa com deficiência, dispensado o laudo médico ainda que exigido por lei municipal, o documento oficial expedido por órgão ou entidade pública de qualquer ente federativo que a reconheça, inclusive a carteira de identificação da pessoa com deficiência ou com transtorno do espectro autista, o comprovante de concessão, em razão de deficiência, do benefício de prestação continuada da assistência social, ainda que cessado por motivo alheio à deficiência, o resultado de avaliação biopsicossocial, a credencial de estacionamento </w:t>
      </w:r>
      <w:r w:rsidRPr="008B4E21">
        <w:rPr>
          <w:rFonts w:ascii="Arial" w:eastAsia="Arial" w:hAnsi="Arial" w:cs="Arial"/>
          <w:sz w:val="24"/>
          <w:szCs w:val="24"/>
        </w:rPr>
        <w:t>para pessoa com deficiência, salvo a de caráter temporário, e o reconhecimento para fins de isenção tributária.</w:t>
      </w:r>
    </w:p>
    <w:p w:rsidR="008B4E21" w:rsidRPr="008B4E21" w:rsidP="008B4E21" w14:paraId="70D7D7EA"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Art. 5º</w:t>
      </w:r>
      <w:r w:rsidRPr="008B4E21">
        <w:rPr>
          <w:rFonts w:ascii="Arial" w:eastAsia="Arial" w:hAnsi="Arial" w:cs="Arial"/>
          <w:sz w:val="24"/>
          <w:szCs w:val="24"/>
        </w:rPr>
        <w:t xml:space="preserve"> A pessoa com deficiência, por si ou por seu representante legal, poderá, a qualquer tempo, apresentar novo laudo médico que indique agravamento ou nova deficiência, para revisão do enquadramento, sem prejuízo da validade do anterior.</w:t>
      </w:r>
    </w:p>
    <w:p w:rsidR="008B4E21" w:rsidRPr="008B4E21" w:rsidP="008B4E21" w14:paraId="2383276B"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 1º</w:t>
      </w:r>
      <w:r w:rsidRPr="008B4E21">
        <w:rPr>
          <w:rFonts w:ascii="Arial" w:eastAsia="Arial" w:hAnsi="Arial" w:cs="Arial"/>
          <w:sz w:val="24"/>
          <w:szCs w:val="24"/>
        </w:rPr>
        <w:t xml:space="preserve"> Quando o benefício municipal depender do grau ou do nível de apoio, o regulamento poderá prever a atualização dessa informação, por procedimento simplificado, em intervalo não inferior a 5 (cinco) anos, ou a 3 (três) anos para criança ou adolescente, mantido o enquadramento até a atualização.</w:t>
      </w:r>
    </w:p>
    <w:p w:rsidR="008B4E21" w:rsidRPr="008B4E21" w:rsidP="008B4E21" w14:paraId="798BEDA3"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 2º</w:t>
      </w:r>
      <w:r w:rsidRPr="008B4E21">
        <w:rPr>
          <w:rFonts w:ascii="Arial" w:eastAsia="Arial" w:hAnsi="Arial" w:cs="Arial"/>
          <w:sz w:val="24"/>
          <w:szCs w:val="24"/>
        </w:rPr>
        <w:t xml:space="preserve"> Esta Lei não impede a verificação motivada e individualizada em caso de indício fundado de erro, falsidade ou fraude no laudo médico ou de cessação superveniente da deficiência, assegurados o contraditório e a ampla defesa, nem o cruzamento de dados e a atualização cadastral que não impliquem exigência de novo laudo, sem prejuízo das sanções cabíveis e da restituição ao erário.</w:t>
      </w:r>
    </w:p>
    <w:p w:rsidR="008B4E21" w:rsidRPr="008B4E21" w:rsidP="008B4E21" w14:paraId="08288825"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Art. 6º</w:t>
      </w:r>
      <w:r w:rsidRPr="008B4E21">
        <w:rPr>
          <w:rFonts w:ascii="Arial" w:eastAsia="Arial" w:hAnsi="Arial" w:cs="Arial"/>
          <w:sz w:val="24"/>
          <w:szCs w:val="24"/>
        </w:rPr>
        <w:t xml:space="preserve"> A pessoa cujo benefício municipal tenha sido suspenso ou cancelado exclusivamente em razão da ausência de renovação do laudo médico poderá requerer o seu restabelecimento, com efeitos a partir da data do requerimento, atendidos os demais requisitos.</w:t>
      </w:r>
    </w:p>
    <w:p w:rsidR="008B4E21" w:rsidRPr="008B4E21" w:rsidP="008B4E21" w14:paraId="15FBA5B9"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Art. 7º</w:t>
      </w:r>
      <w:r w:rsidRPr="008B4E21">
        <w:rPr>
          <w:rFonts w:ascii="Arial" w:eastAsia="Arial" w:hAnsi="Arial" w:cs="Arial"/>
          <w:sz w:val="24"/>
          <w:szCs w:val="24"/>
        </w:rPr>
        <w:t xml:space="preserve"> O § 2º do art. 21 da Lei nº 4.163, de 4 de maio de 2006, passa a vigorar com a seguinte redação:</w:t>
      </w:r>
    </w:p>
    <w:p w:rsidR="008B4E21" w:rsidRPr="008B4E21" w:rsidP="008B4E21" w14:paraId="7211591C" w14:textId="77777777">
      <w:pPr>
        <w:spacing w:line="336" w:lineRule="auto"/>
        <w:ind w:left="1418"/>
        <w:jc w:val="both"/>
        <w:rPr>
          <w:rFonts w:ascii="Arial" w:eastAsia="Arial" w:hAnsi="Arial" w:cs="Arial"/>
          <w:sz w:val="24"/>
          <w:szCs w:val="24"/>
        </w:rPr>
      </w:pPr>
      <w:r w:rsidRPr="008B4E21">
        <w:rPr>
          <w:rFonts w:ascii="Arial" w:eastAsia="Arial" w:hAnsi="Arial" w:cs="Arial"/>
          <w:sz w:val="24"/>
          <w:szCs w:val="24"/>
        </w:rPr>
        <w:t>“Art. 21. .....................................................................</w:t>
      </w:r>
    </w:p>
    <w:p w:rsidR="008B4E21" w:rsidRPr="008B4E21" w:rsidP="008B4E21" w14:paraId="1E947C23" w14:textId="77777777">
      <w:pPr>
        <w:spacing w:line="336" w:lineRule="auto"/>
        <w:ind w:left="1418"/>
        <w:jc w:val="both"/>
        <w:rPr>
          <w:rFonts w:ascii="Arial" w:eastAsia="Arial" w:hAnsi="Arial" w:cs="Arial"/>
          <w:sz w:val="24"/>
          <w:szCs w:val="24"/>
        </w:rPr>
      </w:pPr>
      <w:r w:rsidRPr="008B4E21">
        <w:rPr>
          <w:rFonts w:ascii="Arial" w:eastAsia="Arial" w:hAnsi="Arial" w:cs="Arial"/>
          <w:sz w:val="24"/>
          <w:szCs w:val="24"/>
        </w:rPr>
        <w:t>.....................................................................................</w:t>
      </w:r>
    </w:p>
    <w:p w:rsidR="008B4E21" w:rsidRPr="008B4E21" w:rsidP="008B4E21" w14:paraId="416B1305" w14:textId="77777777">
      <w:pPr>
        <w:spacing w:line="336" w:lineRule="auto"/>
        <w:ind w:left="1418"/>
        <w:jc w:val="both"/>
        <w:rPr>
          <w:rFonts w:ascii="Arial" w:eastAsia="Arial" w:hAnsi="Arial" w:cs="Arial"/>
          <w:sz w:val="24"/>
          <w:szCs w:val="24"/>
        </w:rPr>
      </w:pPr>
      <w:r w:rsidRPr="008B4E21">
        <w:rPr>
          <w:rFonts w:ascii="Arial" w:eastAsia="Arial" w:hAnsi="Arial" w:cs="Arial"/>
          <w:sz w:val="24"/>
          <w:szCs w:val="24"/>
        </w:rPr>
        <w:t>§ 2º A deficiência ou incapacidade será caracterizada por equipe multidisciplinar de saúde quando a concessão de benefício ou serviço depender do seu grau, do nível de apoio ou de característica específica.</w:t>
      </w:r>
    </w:p>
    <w:p w:rsidR="008B4E21" w:rsidRPr="008B4E21" w:rsidP="008B4E21" w14:paraId="43C58B85" w14:textId="77777777">
      <w:pPr>
        <w:spacing w:line="336" w:lineRule="auto"/>
        <w:ind w:left="1418"/>
        <w:jc w:val="both"/>
        <w:rPr>
          <w:rFonts w:ascii="Arial" w:eastAsia="Arial" w:hAnsi="Arial" w:cs="Arial"/>
          <w:sz w:val="24"/>
          <w:szCs w:val="24"/>
        </w:rPr>
      </w:pPr>
      <w:r w:rsidRPr="008B4E21">
        <w:rPr>
          <w:rFonts w:ascii="Arial" w:eastAsia="Arial" w:hAnsi="Arial" w:cs="Arial"/>
          <w:sz w:val="24"/>
          <w:szCs w:val="24"/>
        </w:rPr>
        <w:t>...........................................................................” (NR)</w:t>
      </w:r>
    </w:p>
    <w:p w:rsidR="008B4E21" w:rsidRPr="008B4E21" w:rsidP="008B4E21" w14:paraId="0C864BF4"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Art. 8º</w:t>
      </w:r>
      <w:r w:rsidRPr="008B4E21">
        <w:rPr>
          <w:rFonts w:ascii="Arial" w:eastAsia="Arial" w:hAnsi="Arial" w:cs="Arial"/>
          <w:sz w:val="24"/>
          <w:szCs w:val="24"/>
        </w:rPr>
        <w:t xml:space="preserve"> Fica revogada a expressão ", bem como, que conste o CID da deficiência", constante do parágrafo único do art. 2º da Lei nº 4.765, de 24 de dezembro de 2008.</w:t>
      </w:r>
    </w:p>
    <w:p w:rsidR="008B4E21" w:rsidRPr="008B4E21" w:rsidP="008B4E21" w14:paraId="171C92EE" w14:textId="77777777">
      <w:pPr>
        <w:spacing w:line="336" w:lineRule="auto"/>
        <w:ind w:firstLine="1418"/>
        <w:jc w:val="both"/>
        <w:rPr>
          <w:rFonts w:ascii="Arial" w:eastAsia="Arial" w:hAnsi="Arial" w:cs="Arial"/>
          <w:sz w:val="24"/>
          <w:szCs w:val="24"/>
        </w:rPr>
      </w:pPr>
      <w:r w:rsidRPr="008B4E21">
        <w:rPr>
          <w:rFonts w:ascii="Arial" w:eastAsia="Arial" w:hAnsi="Arial" w:cs="Arial"/>
          <w:b/>
          <w:bCs/>
          <w:sz w:val="24"/>
          <w:szCs w:val="24"/>
        </w:rPr>
        <w:t>Art. 9º</w:t>
      </w:r>
      <w:r w:rsidRPr="008B4E21">
        <w:rPr>
          <w:rFonts w:ascii="Arial" w:eastAsia="Arial" w:hAnsi="Arial" w:cs="Arial"/>
          <w:sz w:val="24"/>
          <w:szCs w:val="24"/>
        </w:rPr>
        <w:t xml:space="preserve"> Esta Lei entra em vigor após decorridos 60 (sessenta) dias de sua publicação oficial.</w:t>
      </w:r>
    </w:p>
    <w:p w:rsidR="008B4E21" w:rsidRPr="008B4E21" w:rsidP="008B4E21" w14:paraId="3E3D6C48" w14:textId="77777777">
      <w:pPr>
        <w:spacing w:after="600" w:line="336" w:lineRule="auto"/>
        <w:jc w:val="right"/>
        <w:rPr>
          <w:rFonts w:ascii="Arial" w:eastAsia="Arial" w:hAnsi="Arial" w:cs="Arial"/>
          <w:sz w:val="24"/>
          <w:szCs w:val="24"/>
        </w:rPr>
      </w:pPr>
      <w:r w:rsidRPr="008B4E21">
        <w:rPr>
          <w:rFonts w:ascii="Arial" w:eastAsia="Arial" w:hAnsi="Arial" w:cs="Arial"/>
          <w:sz w:val="24"/>
          <w:szCs w:val="24"/>
        </w:rPr>
        <w:t xml:space="preserve">Sumaré, 29 de </w:t>
      </w:r>
      <w:r w:rsidRPr="008B4E21">
        <w:rPr>
          <w:rFonts w:ascii="Arial" w:eastAsia="Arial" w:hAnsi="Arial" w:cs="Arial"/>
          <w:sz w:val="24"/>
          <w:szCs w:val="24"/>
        </w:rPr>
        <w:t>Setembro</w:t>
      </w:r>
      <w:r w:rsidRPr="008B4E21">
        <w:rPr>
          <w:rFonts w:ascii="Arial" w:eastAsia="Arial" w:hAnsi="Arial" w:cs="Arial"/>
          <w:sz w:val="24"/>
          <w:szCs w:val="24"/>
        </w:rPr>
        <w:t xml:space="preserve"> de 2026.</w:t>
      </w:r>
    </w:p>
    <w:p w:rsidR="00A4474E" w:rsidP="00A4474E" w14:paraId="6EC745EE" w14:textId="77777777">
      <w:pPr>
        <w:spacing w:after="0" w:line="276" w:lineRule="auto"/>
        <w:jc w:val="center"/>
        <w:rPr>
          <w:rFonts w:ascii="Arial" w:eastAsia="Arial" w:hAnsi="Arial" w:cs="Arial"/>
          <w:b/>
          <w:sz w:val="24"/>
          <w:szCs w:val="24"/>
          <w:lang w:eastAsia="en-US"/>
        </w:rPr>
      </w:pPr>
      <w:r>
        <w:rPr>
          <w:rFonts w:ascii="Arial" w:eastAsia="Arial" w:hAnsi="Arial" w:cs="Arial"/>
          <w:noProof/>
          <w:color w:val="000000"/>
          <w:sz w:val="24"/>
          <w:szCs w:val="24"/>
        </w:rPr>
        <w:drawing>
          <wp:inline distT="0" distB="0" distL="0" distR="0">
            <wp:extent cx="2124075" cy="962025"/>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0236" name="Imagem 2"/>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124075" cy="962025"/>
                    </a:xfrm>
                    <a:prstGeom prst="rect">
                      <a:avLst/>
                    </a:prstGeom>
                    <a:noFill/>
                    <a:ln>
                      <a:noFill/>
                    </a:ln>
                  </pic:spPr>
                </pic:pic>
              </a:graphicData>
            </a:graphic>
          </wp:inline>
        </w:drawing>
      </w:r>
    </w:p>
    <w:p w:rsidR="00A4474E" w:rsidP="00A4474E" w14:paraId="6DD2BC1C" w14:textId="77777777">
      <w:pPr>
        <w:spacing w:after="0" w:line="276" w:lineRule="auto"/>
        <w:jc w:val="center"/>
        <w:rPr>
          <w:rFonts w:ascii="Arial" w:eastAsia="Arial" w:hAnsi="Arial" w:cs="Arial"/>
          <w:b/>
          <w:sz w:val="24"/>
          <w:szCs w:val="24"/>
        </w:rPr>
      </w:pPr>
      <w:r>
        <w:rPr>
          <w:rFonts w:ascii="Arial" w:eastAsia="Arial" w:hAnsi="Arial" w:cs="Arial"/>
          <w:b/>
          <w:sz w:val="24"/>
          <w:szCs w:val="24"/>
        </w:rPr>
        <w:t>César Bianchi</w:t>
      </w:r>
    </w:p>
    <w:p w:rsidR="00A4474E" w:rsidP="00A4474E" w14:paraId="488779BA" w14:textId="77777777">
      <w:pPr>
        <w:spacing w:after="0" w:line="276" w:lineRule="auto"/>
        <w:jc w:val="center"/>
        <w:rPr>
          <w:rFonts w:ascii="Arial" w:eastAsia="Arial" w:hAnsi="Arial" w:cs="Arial"/>
          <w:sz w:val="24"/>
          <w:szCs w:val="24"/>
        </w:rPr>
      </w:pPr>
      <w:r>
        <w:rPr>
          <w:rFonts w:ascii="Arial" w:eastAsia="Arial" w:hAnsi="Arial" w:cs="Arial"/>
          <w:sz w:val="24"/>
          <w:szCs w:val="24"/>
        </w:rPr>
        <w:t>Vereador</w:t>
      </w:r>
    </w:p>
    <w:p w:rsidR="00A4474E" w:rsidP="00A4474E" w14:paraId="1055C2A5" w14:textId="77777777">
      <w:pPr>
        <w:spacing w:after="0" w:line="276" w:lineRule="auto"/>
        <w:jc w:val="center"/>
        <w:rPr>
          <w:rFonts w:ascii="Arial" w:eastAsia="Arial" w:hAnsi="Arial" w:cs="Arial"/>
          <w:sz w:val="24"/>
          <w:szCs w:val="24"/>
        </w:rPr>
      </w:pPr>
      <w:r>
        <w:rPr>
          <w:rFonts w:ascii="Arial" w:eastAsia="Arial" w:hAnsi="Arial" w:cs="Arial"/>
          <w:sz w:val="24"/>
          <w:szCs w:val="24"/>
        </w:rPr>
        <w:t>Partido Progressistas</w:t>
      </w:r>
    </w:p>
    <w:p w:rsidR="00A4474E" w:rsidP="00A4474E" w14:paraId="4518E0E6" w14:textId="77777777">
      <w:pPr>
        <w:spacing w:after="0" w:line="276" w:lineRule="auto"/>
        <w:jc w:val="both"/>
        <w:rPr>
          <w:rFonts w:ascii="Arial" w:eastAsia="Arial" w:hAnsi="Arial" w:cs="Arial"/>
          <w:sz w:val="24"/>
          <w:szCs w:val="24"/>
        </w:rPr>
      </w:pPr>
    </w:p>
    <w:p w:rsidR="00D700DB" w14:paraId="6678B0CB" w14:textId="77777777">
      <w:pPr>
        <w:tabs>
          <w:tab w:val="left" w:pos="567"/>
        </w:tabs>
        <w:spacing w:after="0" w:line="240" w:lineRule="auto"/>
        <w:jc w:val="right"/>
        <w:rPr>
          <w:rFonts w:ascii="Arial" w:eastAsia="Arial" w:hAnsi="Arial" w:cs="Arial"/>
          <w:sz w:val="24"/>
          <w:szCs w:val="24"/>
        </w:rPr>
      </w:pPr>
    </w:p>
    <w:p w:rsidR="00B01755" w14:paraId="6052B1F6" w14:textId="77777777">
      <w:pPr>
        <w:tabs>
          <w:tab w:val="left" w:pos="567"/>
        </w:tabs>
        <w:spacing w:after="0" w:line="240" w:lineRule="auto"/>
        <w:jc w:val="right"/>
        <w:rPr>
          <w:rFonts w:ascii="Arial" w:eastAsia="Arial" w:hAnsi="Arial" w:cs="Arial"/>
          <w:sz w:val="24"/>
          <w:szCs w:val="24"/>
        </w:rPr>
      </w:pPr>
    </w:p>
    <w:p w:rsidR="00B01755" w14:paraId="1B10499C" w14:textId="77777777">
      <w:pPr>
        <w:tabs>
          <w:tab w:val="left" w:pos="567"/>
        </w:tabs>
        <w:spacing w:after="0" w:line="240" w:lineRule="auto"/>
        <w:jc w:val="right"/>
        <w:rPr>
          <w:rFonts w:ascii="Arial" w:eastAsia="Arial" w:hAnsi="Arial" w:cs="Arial"/>
          <w:sz w:val="24"/>
          <w:szCs w:val="24"/>
        </w:rPr>
      </w:pPr>
    </w:p>
    <w:p w:rsidR="001C088E" w14:paraId="568E8F76" w14:textId="77777777">
      <w:pPr>
        <w:tabs>
          <w:tab w:val="left" w:pos="567"/>
        </w:tabs>
        <w:spacing w:after="0" w:line="240" w:lineRule="auto"/>
        <w:jc w:val="right"/>
        <w:rPr>
          <w:rFonts w:ascii="Arial" w:eastAsia="Arial" w:hAnsi="Arial" w:cs="Arial"/>
          <w:sz w:val="24"/>
          <w:szCs w:val="24"/>
        </w:rPr>
      </w:pPr>
    </w:p>
    <w:p w:rsidR="001C088E" w14:paraId="67F891FF" w14:textId="77777777">
      <w:pPr>
        <w:tabs>
          <w:tab w:val="left" w:pos="567"/>
        </w:tabs>
        <w:spacing w:after="0" w:line="240" w:lineRule="auto"/>
        <w:jc w:val="right"/>
        <w:rPr>
          <w:rFonts w:ascii="Arial" w:eastAsia="Arial" w:hAnsi="Arial" w:cs="Arial"/>
          <w:sz w:val="24"/>
          <w:szCs w:val="24"/>
        </w:rPr>
      </w:pPr>
    </w:p>
    <w:p w:rsidR="001C088E" w14:paraId="67B286ED" w14:textId="77777777">
      <w:pPr>
        <w:tabs>
          <w:tab w:val="left" w:pos="567"/>
        </w:tabs>
        <w:spacing w:after="0" w:line="240" w:lineRule="auto"/>
        <w:jc w:val="right"/>
        <w:rPr>
          <w:rFonts w:ascii="Arial" w:eastAsia="Arial" w:hAnsi="Arial" w:cs="Arial"/>
          <w:sz w:val="24"/>
          <w:szCs w:val="24"/>
        </w:rPr>
      </w:pPr>
    </w:p>
    <w:p w:rsidR="001C088E" w14:paraId="5F8F3AFB" w14:textId="77777777">
      <w:pPr>
        <w:tabs>
          <w:tab w:val="left" w:pos="567"/>
        </w:tabs>
        <w:spacing w:after="0" w:line="240" w:lineRule="auto"/>
        <w:jc w:val="right"/>
        <w:rPr>
          <w:rFonts w:ascii="Arial" w:eastAsia="Arial" w:hAnsi="Arial" w:cs="Arial"/>
          <w:sz w:val="24"/>
          <w:szCs w:val="24"/>
        </w:rPr>
      </w:pPr>
    </w:p>
    <w:p w:rsidR="001C088E" w14:paraId="096CADA7" w14:textId="77777777">
      <w:pPr>
        <w:tabs>
          <w:tab w:val="left" w:pos="567"/>
        </w:tabs>
        <w:spacing w:after="0" w:line="240" w:lineRule="auto"/>
        <w:jc w:val="right"/>
        <w:rPr>
          <w:rFonts w:ascii="Arial" w:eastAsia="Arial" w:hAnsi="Arial" w:cs="Arial"/>
          <w:sz w:val="24"/>
          <w:szCs w:val="24"/>
        </w:rPr>
      </w:pPr>
    </w:p>
    <w:p w:rsidR="001C088E" w14:paraId="452AF2BA" w14:textId="77777777">
      <w:pPr>
        <w:tabs>
          <w:tab w:val="left" w:pos="567"/>
        </w:tabs>
        <w:spacing w:after="0" w:line="240" w:lineRule="auto"/>
        <w:jc w:val="right"/>
        <w:rPr>
          <w:rFonts w:ascii="Arial" w:eastAsia="Arial" w:hAnsi="Arial" w:cs="Arial"/>
          <w:sz w:val="24"/>
          <w:szCs w:val="24"/>
        </w:rPr>
      </w:pPr>
    </w:p>
    <w:p w:rsidR="001C088E" w14:paraId="167A9C6A" w14:textId="77777777">
      <w:pPr>
        <w:tabs>
          <w:tab w:val="left" w:pos="567"/>
        </w:tabs>
        <w:spacing w:after="0" w:line="240" w:lineRule="auto"/>
        <w:jc w:val="right"/>
        <w:rPr>
          <w:rFonts w:ascii="Arial" w:eastAsia="Arial" w:hAnsi="Arial" w:cs="Arial"/>
          <w:sz w:val="24"/>
          <w:szCs w:val="24"/>
        </w:rPr>
      </w:pPr>
    </w:p>
    <w:p w:rsidR="001C088E" w14:paraId="422BD1D5" w14:textId="77777777">
      <w:pPr>
        <w:tabs>
          <w:tab w:val="left" w:pos="567"/>
        </w:tabs>
        <w:spacing w:after="0" w:line="240" w:lineRule="auto"/>
        <w:jc w:val="right"/>
        <w:rPr>
          <w:rFonts w:ascii="Arial" w:eastAsia="Arial" w:hAnsi="Arial" w:cs="Arial"/>
          <w:sz w:val="24"/>
          <w:szCs w:val="24"/>
        </w:rPr>
      </w:pPr>
    </w:p>
    <w:p w:rsidR="001C088E" w14:paraId="5A623600" w14:textId="77777777">
      <w:pPr>
        <w:tabs>
          <w:tab w:val="left" w:pos="567"/>
        </w:tabs>
        <w:spacing w:after="0" w:line="240" w:lineRule="auto"/>
        <w:jc w:val="right"/>
        <w:rPr>
          <w:rFonts w:ascii="Arial" w:eastAsia="Arial" w:hAnsi="Arial" w:cs="Arial"/>
          <w:sz w:val="24"/>
          <w:szCs w:val="24"/>
        </w:rPr>
      </w:pPr>
    </w:p>
    <w:p w:rsidR="001C088E" w14:paraId="1B78343A" w14:textId="77777777">
      <w:pPr>
        <w:tabs>
          <w:tab w:val="left" w:pos="567"/>
        </w:tabs>
        <w:spacing w:after="0" w:line="240" w:lineRule="auto"/>
        <w:jc w:val="right"/>
        <w:rPr>
          <w:rFonts w:ascii="Arial" w:eastAsia="Arial" w:hAnsi="Arial" w:cs="Arial"/>
          <w:sz w:val="24"/>
          <w:szCs w:val="24"/>
        </w:rPr>
      </w:pPr>
    </w:p>
    <w:p w:rsidR="001C088E" w14:paraId="3BE2A4C1" w14:textId="77777777">
      <w:pPr>
        <w:tabs>
          <w:tab w:val="left" w:pos="567"/>
        </w:tabs>
        <w:spacing w:after="0" w:line="240" w:lineRule="auto"/>
        <w:jc w:val="right"/>
        <w:rPr>
          <w:rFonts w:ascii="Arial" w:eastAsia="Arial" w:hAnsi="Arial" w:cs="Arial"/>
          <w:sz w:val="24"/>
          <w:szCs w:val="24"/>
        </w:rPr>
      </w:pPr>
    </w:p>
    <w:p w:rsidR="001C088E" w14:paraId="5FF63F12" w14:textId="77777777">
      <w:pPr>
        <w:tabs>
          <w:tab w:val="left" w:pos="567"/>
        </w:tabs>
        <w:spacing w:after="0" w:line="240" w:lineRule="auto"/>
        <w:jc w:val="right"/>
        <w:rPr>
          <w:rFonts w:ascii="Arial" w:eastAsia="Arial" w:hAnsi="Arial" w:cs="Arial"/>
          <w:sz w:val="24"/>
          <w:szCs w:val="24"/>
        </w:rPr>
      </w:pPr>
    </w:p>
    <w:p w:rsidR="001C088E" w14:paraId="66E1DCA9" w14:textId="77777777">
      <w:pPr>
        <w:tabs>
          <w:tab w:val="left" w:pos="567"/>
        </w:tabs>
        <w:spacing w:after="0" w:line="240" w:lineRule="auto"/>
        <w:jc w:val="right"/>
        <w:rPr>
          <w:rFonts w:ascii="Arial" w:eastAsia="Arial" w:hAnsi="Arial" w:cs="Arial"/>
          <w:sz w:val="24"/>
          <w:szCs w:val="24"/>
        </w:rPr>
      </w:pPr>
    </w:p>
    <w:p w:rsidR="001C088E" w14:paraId="52BF06C8" w14:textId="77777777">
      <w:pPr>
        <w:tabs>
          <w:tab w:val="left" w:pos="567"/>
        </w:tabs>
        <w:spacing w:after="0" w:line="240" w:lineRule="auto"/>
        <w:jc w:val="right"/>
        <w:rPr>
          <w:rFonts w:ascii="Arial" w:eastAsia="Arial" w:hAnsi="Arial" w:cs="Arial"/>
          <w:sz w:val="24"/>
          <w:szCs w:val="24"/>
        </w:rPr>
      </w:pPr>
    </w:p>
    <w:p w:rsidR="008B4E21" w14:paraId="22D77980" w14:textId="77777777">
      <w:pPr>
        <w:tabs>
          <w:tab w:val="left" w:pos="567"/>
        </w:tabs>
        <w:spacing w:after="0" w:line="240" w:lineRule="auto"/>
        <w:jc w:val="right"/>
        <w:rPr>
          <w:rFonts w:ascii="Arial" w:eastAsia="Arial" w:hAnsi="Arial" w:cs="Arial"/>
          <w:sz w:val="24"/>
          <w:szCs w:val="24"/>
        </w:rPr>
      </w:pPr>
    </w:p>
    <w:p w:rsidR="008B4E21" w14:paraId="6856BEFD" w14:textId="77777777">
      <w:pPr>
        <w:tabs>
          <w:tab w:val="left" w:pos="567"/>
        </w:tabs>
        <w:spacing w:after="0" w:line="240" w:lineRule="auto"/>
        <w:jc w:val="right"/>
        <w:rPr>
          <w:rFonts w:ascii="Arial" w:eastAsia="Arial" w:hAnsi="Arial" w:cs="Arial"/>
          <w:sz w:val="24"/>
          <w:szCs w:val="24"/>
        </w:rPr>
      </w:pPr>
    </w:p>
    <w:p w:rsidR="008B4E21" w14:paraId="4248EA3E" w14:textId="77777777">
      <w:pPr>
        <w:tabs>
          <w:tab w:val="left" w:pos="567"/>
        </w:tabs>
        <w:spacing w:after="0" w:line="240" w:lineRule="auto"/>
        <w:jc w:val="right"/>
        <w:rPr>
          <w:rFonts w:ascii="Arial" w:eastAsia="Arial" w:hAnsi="Arial" w:cs="Arial"/>
          <w:sz w:val="24"/>
          <w:szCs w:val="24"/>
        </w:rPr>
      </w:pPr>
    </w:p>
    <w:p w:rsidR="008B4E21" w14:paraId="3345BB06" w14:textId="77777777">
      <w:pPr>
        <w:tabs>
          <w:tab w:val="left" w:pos="567"/>
        </w:tabs>
        <w:spacing w:after="0" w:line="240" w:lineRule="auto"/>
        <w:jc w:val="right"/>
        <w:rPr>
          <w:rFonts w:ascii="Arial" w:eastAsia="Arial" w:hAnsi="Arial" w:cs="Arial"/>
          <w:sz w:val="24"/>
          <w:szCs w:val="24"/>
        </w:rPr>
      </w:pPr>
    </w:p>
    <w:p w:rsidR="008B4E21" w14:paraId="3B723A75" w14:textId="77777777">
      <w:pPr>
        <w:tabs>
          <w:tab w:val="left" w:pos="567"/>
        </w:tabs>
        <w:spacing w:after="0" w:line="240" w:lineRule="auto"/>
        <w:jc w:val="right"/>
        <w:rPr>
          <w:rFonts w:ascii="Arial" w:eastAsia="Arial" w:hAnsi="Arial" w:cs="Arial"/>
          <w:sz w:val="24"/>
          <w:szCs w:val="24"/>
        </w:rPr>
      </w:pPr>
    </w:p>
    <w:p w:rsidR="008B4E21" w14:paraId="3E930CC1" w14:textId="77777777">
      <w:pPr>
        <w:tabs>
          <w:tab w:val="left" w:pos="567"/>
        </w:tabs>
        <w:spacing w:after="0" w:line="240" w:lineRule="auto"/>
        <w:jc w:val="right"/>
        <w:rPr>
          <w:rFonts w:ascii="Arial" w:eastAsia="Arial" w:hAnsi="Arial" w:cs="Arial"/>
          <w:sz w:val="24"/>
          <w:szCs w:val="24"/>
        </w:rPr>
      </w:pPr>
    </w:p>
    <w:p w:rsidR="008B4E21" w14:paraId="5154062A" w14:textId="77777777">
      <w:pPr>
        <w:tabs>
          <w:tab w:val="left" w:pos="567"/>
        </w:tabs>
        <w:spacing w:after="0" w:line="240" w:lineRule="auto"/>
        <w:jc w:val="right"/>
        <w:rPr>
          <w:rFonts w:ascii="Arial" w:eastAsia="Arial" w:hAnsi="Arial" w:cs="Arial"/>
          <w:sz w:val="24"/>
          <w:szCs w:val="24"/>
        </w:rPr>
      </w:pPr>
    </w:p>
    <w:p w:rsidR="001C088E" w14:paraId="4CD1217E" w14:textId="77777777">
      <w:pPr>
        <w:tabs>
          <w:tab w:val="left" w:pos="567"/>
        </w:tabs>
        <w:spacing w:after="0" w:line="240" w:lineRule="auto"/>
        <w:jc w:val="right"/>
        <w:rPr>
          <w:rFonts w:ascii="Arial" w:eastAsia="Arial" w:hAnsi="Arial" w:cs="Arial"/>
          <w:sz w:val="24"/>
          <w:szCs w:val="24"/>
        </w:rPr>
      </w:pPr>
    </w:p>
    <w:p w:rsidR="001C088E" w14:paraId="037E085D" w14:textId="77777777">
      <w:pPr>
        <w:tabs>
          <w:tab w:val="left" w:pos="567"/>
        </w:tabs>
        <w:spacing w:after="0" w:line="240" w:lineRule="auto"/>
        <w:jc w:val="right"/>
        <w:rPr>
          <w:rFonts w:ascii="Arial" w:eastAsia="Arial" w:hAnsi="Arial" w:cs="Arial"/>
          <w:sz w:val="24"/>
          <w:szCs w:val="24"/>
        </w:rPr>
      </w:pPr>
    </w:p>
    <w:p w:rsidR="001C088E" w14:paraId="26CA3DEE" w14:textId="77777777">
      <w:pPr>
        <w:tabs>
          <w:tab w:val="left" w:pos="567"/>
        </w:tabs>
        <w:spacing w:after="0" w:line="240" w:lineRule="auto"/>
        <w:jc w:val="right"/>
        <w:rPr>
          <w:rFonts w:ascii="Arial" w:eastAsia="Arial" w:hAnsi="Arial" w:cs="Arial"/>
          <w:sz w:val="24"/>
          <w:szCs w:val="24"/>
        </w:rPr>
      </w:pPr>
    </w:p>
    <w:p w:rsidR="001C088E" w14:paraId="7617B529" w14:textId="77777777">
      <w:pPr>
        <w:tabs>
          <w:tab w:val="left" w:pos="567"/>
        </w:tabs>
        <w:spacing w:after="0" w:line="240" w:lineRule="auto"/>
        <w:jc w:val="right"/>
        <w:rPr>
          <w:rFonts w:ascii="Arial" w:eastAsia="Arial" w:hAnsi="Arial" w:cs="Arial"/>
          <w:sz w:val="24"/>
          <w:szCs w:val="24"/>
        </w:rPr>
      </w:pPr>
    </w:p>
    <w:p w:rsidR="00B01755" w14:paraId="0E63FD86" w14:textId="77777777">
      <w:pPr>
        <w:tabs>
          <w:tab w:val="left" w:pos="567"/>
        </w:tabs>
        <w:spacing w:after="0" w:line="240" w:lineRule="auto"/>
        <w:jc w:val="right"/>
        <w:rPr>
          <w:rFonts w:ascii="Arial" w:eastAsia="Arial" w:hAnsi="Arial" w:cs="Arial"/>
          <w:sz w:val="24"/>
          <w:szCs w:val="24"/>
        </w:rPr>
      </w:pPr>
    </w:p>
    <w:p w:rsidR="008B4E21" w:rsidP="008B4E21" w14:paraId="02F6428B" w14:textId="77777777">
      <w:pPr>
        <w:spacing w:after="360" w:line="240" w:lineRule="auto"/>
        <w:jc w:val="center"/>
        <w:rPr>
          <w:rFonts w:ascii="Arial" w:eastAsia="Arial" w:hAnsi="Arial" w:cs="Arial"/>
          <w:b/>
          <w:bCs/>
          <w:sz w:val="24"/>
          <w:szCs w:val="24"/>
        </w:rPr>
      </w:pPr>
    </w:p>
    <w:p w:rsidR="008B4E21" w:rsidP="008B4E21" w14:paraId="75E56D68" w14:textId="10A86A5E">
      <w:pPr>
        <w:spacing w:after="360" w:line="240" w:lineRule="auto"/>
        <w:jc w:val="center"/>
        <w:rPr>
          <w:rFonts w:ascii="Arial" w:eastAsia="Arial" w:hAnsi="Arial" w:cs="Arial"/>
          <w:b/>
          <w:bCs/>
          <w:sz w:val="24"/>
          <w:szCs w:val="24"/>
        </w:rPr>
      </w:pPr>
      <w:r w:rsidRPr="008B4E21">
        <w:rPr>
          <w:rFonts w:ascii="Arial" w:eastAsia="Arial" w:hAnsi="Arial" w:cs="Arial"/>
          <w:b/>
          <w:bCs/>
          <w:sz w:val="24"/>
          <w:szCs w:val="24"/>
        </w:rPr>
        <w:t>JUSTIFICATIVA</w:t>
      </w:r>
    </w:p>
    <w:p w:rsidR="008B4E21" w:rsidRPr="008B4E21" w:rsidP="00D760D0" w14:paraId="7DA31F8B" w14:textId="77777777">
      <w:pPr>
        <w:spacing w:line="276" w:lineRule="auto"/>
        <w:ind w:firstLine="1418"/>
        <w:jc w:val="both"/>
        <w:rPr>
          <w:rFonts w:ascii="Arial" w:eastAsia="Arial" w:hAnsi="Arial" w:cs="Arial"/>
          <w:sz w:val="24"/>
          <w:szCs w:val="24"/>
        </w:rPr>
      </w:pPr>
      <w:r w:rsidRPr="008B4E21">
        <w:rPr>
          <w:rFonts w:ascii="Arial" w:eastAsia="Arial" w:hAnsi="Arial" w:cs="Arial"/>
          <w:sz w:val="24"/>
          <w:szCs w:val="24"/>
        </w:rPr>
        <w:t>Ninguém deixa de ser autista com o passar do tempo, nem deixa de ter síndrome de Down com a virada do calendário. Quem já possui atestado médico de que a sua deficiência é permanente não deveria ter de provar essa condição repetidamente. Esta Casa tem demonstrado uma sensibilidade ímpar para com a causa da inclusão, o que ficou amplamente provado pela aprovação unânime das Leis nº 7.365 e nº 7.366, de 2025, que trouxeram a nobre isenção de IPTU para as famílias, bem como da Lei nº 7.136, de 2023. O presente projeto busca dar um passo à frente e aperfeiçoar estas grandes conquistas sociais, modernizando a legislação para dispensar a renovação periódica de laudos na revisão destes benefícios. Trata-se de uma harmonização com os avanços que nós próprios já alcançamos: na Lei nº 7.414, de 2025, esta Câmara sabiamente conferiu validade indeterminada à Carteira da Pessoa com Síndrome de Down. É natural e justo que possamos aplicar a mesma lógica aos demais benefícios. Cada renovação exigida significa uma consulta a menos para quem precisa, um dia de trabalho perdido para quem acompanha e, muitas vezes, dinheiro do bolso de quem menos tem.</w:t>
      </w:r>
    </w:p>
    <w:p w:rsidR="008B4E21" w:rsidRPr="008B4E21" w:rsidP="00D760D0" w14:paraId="75FE25EF" w14:textId="77777777">
      <w:pPr>
        <w:spacing w:line="276" w:lineRule="auto"/>
        <w:ind w:firstLine="1418"/>
        <w:jc w:val="both"/>
        <w:rPr>
          <w:rFonts w:ascii="Arial" w:eastAsia="Arial" w:hAnsi="Arial" w:cs="Arial"/>
          <w:sz w:val="24"/>
          <w:szCs w:val="24"/>
        </w:rPr>
      </w:pPr>
      <w:r w:rsidRPr="008B4E21">
        <w:rPr>
          <w:rFonts w:ascii="Arial" w:eastAsia="Arial" w:hAnsi="Arial" w:cs="Arial"/>
          <w:sz w:val="24"/>
          <w:szCs w:val="24"/>
        </w:rPr>
        <w:t>O projeto faz três coisas: o laudo de deficiência permanente passa a valer por prazo indeterminado em tudo o que é municipal, e nenhum benefício pode ser negado ou cortado por falta de renovação; documentos que outros órgãos já examinaram — carteiras de identificação, comprovante do BPC, credencial de estacionamento — passam a valer como prova; e o diagnóstico é protegido, sem CID obrigatório e sem exposição em editais. E não faz outras três: não cria despesa, órgão, cargo ou atribuição; não cria, amplia nem altera benefício algum, apenas a forma de comprovar um requisito que já existe; e não interfere em benefícios, perícias e isenções da União e do Estado, nem no INSS, no DETRAN, no regime dos servidores ou nos concursos. Às concessionárias, aplica-se apenas quanto à comprovação da deficiência, sem tocar em tarifa, gratuidade ou contrato.</w:t>
      </w:r>
    </w:p>
    <w:p w:rsidR="008B4E21" w:rsidP="00D760D0" w14:paraId="4606CDC7" w14:textId="77777777">
      <w:pPr>
        <w:spacing w:line="276" w:lineRule="auto"/>
        <w:ind w:firstLine="1418"/>
        <w:jc w:val="both"/>
        <w:rPr>
          <w:rFonts w:ascii="Arial" w:eastAsia="Arial" w:hAnsi="Arial" w:cs="Arial"/>
          <w:sz w:val="24"/>
          <w:szCs w:val="24"/>
        </w:rPr>
      </w:pPr>
      <w:r w:rsidRPr="008B4E21">
        <w:rPr>
          <w:rFonts w:ascii="Arial" w:eastAsia="Arial" w:hAnsi="Arial" w:cs="Arial"/>
          <w:sz w:val="24"/>
          <w:szCs w:val="24"/>
        </w:rPr>
        <w:t>A proposição é constitucional sob os três ângulos que costumam ser examinados. Quanto à competência, trata de interesse local (Constituição Federal, art. 30, I) e cumpre o dever de proteção à pessoa com deficiência que a Constituição do Estado (</w:t>
      </w:r>
      <w:r w:rsidRPr="008B4E21">
        <w:rPr>
          <w:rFonts w:ascii="Arial" w:eastAsia="Arial" w:hAnsi="Arial" w:cs="Arial"/>
          <w:sz w:val="24"/>
          <w:szCs w:val="24"/>
        </w:rPr>
        <w:t>arts</w:t>
      </w:r>
      <w:r w:rsidRPr="008B4E21">
        <w:rPr>
          <w:rFonts w:ascii="Arial" w:eastAsia="Arial" w:hAnsi="Arial" w:cs="Arial"/>
          <w:sz w:val="24"/>
          <w:szCs w:val="24"/>
        </w:rPr>
        <w:t>. 277 a 279) e a Lei Orgânica (</w:t>
      </w:r>
      <w:r w:rsidRPr="008B4E21">
        <w:rPr>
          <w:rFonts w:ascii="Arial" w:eastAsia="Arial" w:hAnsi="Arial" w:cs="Arial"/>
          <w:sz w:val="24"/>
          <w:szCs w:val="24"/>
        </w:rPr>
        <w:t>arts</w:t>
      </w:r>
      <w:r w:rsidRPr="008B4E21">
        <w:rPr>
          <w:rFonts w:ascii="Arial" w:eastAsia="Arial" w:hAnsi="Arial" w:cs="Arial"/>
          <w:sz w:val="24"/>
          <w:szCs w:val="24"/>
        </w:rPr>
        <w:t xml:space="preserve">. 15, II, e 342) atribuem ao Município. </w:t>
      </w:r>
    </w:p>
    <w:p w:rsidR="008B4E21" w:rsidP="00D760D0" w14:paraId="73DB42F9" w14:textId="77777777">
      <w:pPr>
        <w:spacing w:line="276" w:lineRule="auto"/>
        <w:ind w:firstLine="1418"/>
        <w:jc w:val="both"/>
        <w:rPr>
          <w:rFonts w:ascii="Arial" w:eastAsia="Arial" w:hAnsi="Arial" w:cs="Arial"/>
          <w:sz w:val="24"/>
          <w:szCs w:val="24"/>
        </w:rPr>
      </w:pPr>
    </w:p>
    <w:p w:rsidR="008B4E21" w:rsidRPr="008B4E21" w:rsidP="00D760D0" w14:paraId="32022734" w14:textId="70833027">
      <w:pPr>
        <w:spacing w:line="276" w:lineRule="auto"/>
        <w:ind w:firstLine="1418"/>
        <w:jc w:val="both"/>
        <w:rPr>
          <w:rFonts w:ascii="Arial" w:eastAsia="Arial" w:hAnsi="Arial" w:cs="Arial"/>
          <w:sz w:val="24"/>
          <w:szCs w:val="24"/>
        </w:rPr>
      </w:pPr>
      <w:r w:rsidRPr="008B4E21">
        <w:rPr>
          <w:rFonts w:ascii="Arial" w:eastAsia="Arial" w:hAnsi="Arial" w:cs="Arial"/>
          <w:sz w:val="24"/>
          <w:szCs w:val="24"/>
        </w:rPr>
        <w:t xml:space="preserve">Quanto à iniciativa, não cria órgão, atribuição nem prazo para o Executivo, o que a legitima segundo o Tema 917 do Supremo Tribunal Federal. Quanto às normas gerais, adota o conceito federal de deficiência, preserva a avaliação biopsicossocial da Lei Brasileira de Inclusão (STF, ADI 7.028) e segue a Resolução CFM nº 2.381/2024, que não fixa prazo de validade para documentos médicos e prevê o relatório médico para comprovar deficiência: não cria modelo de reconhecimento da deficiência, apenas </w:t>
      </w:r>
      <w:r w:rsidRPr="008B4E21">
        <w:rPr>
          <w:rFonts w:ascii="Arial" w:eastAsia="Arial" w:hAnsi="Arial" w:cs="Arial"/>
          <w:sz w:val="24"/>
          <w:szCs w:val="24"/>
        </w:rPr>
        <w:t>regula a validade, no tempo, de um documento que as leis municipais já exigem. A presunção de permanência do autismo e da síndrome de Down é regra de prova, relativa, que pode ser afastada com contraditório se um diagnóstico precoce vier a ser revisto.</w:t>
      </w:r>
    </w:p>
    <w:p w:rsidR="008B4E21" w:rsidRPr="008B4E21" w:rsidP="00D760D0" w14:paraId="17A6C697" w14:textId="77777777">
      <w:pPr>
        <w:spacing w:line="276" w:lineRule="auto"/>
        <w:ind w:firstLine="1418"/>
        <w:jc w:val="both"/>
        <w:rPr>
          <w:rFonts w:ascii="Arial" w:eastAsia="Arial" w:hAnsi="Arial" w:cs="Arial"/>
          <w:sz w:val="24"/>
          <w:szCs w:val="24"/>
        </w:rPr>
      </w:pPr>
      <w:r w:rsidRPr="008B4E21">
        <w:rPr>
          <w:rFonts w:ascii="Arial" w:eastAsia="Arial" w:hAnsi="Arial" w:cs="Arial"/>
          <w:sz w:val="24"/>
          <w:szCs w:val="24"/>
        </w:rPr>
        <w:t>O projeto também não gera custo nem fragiliza o controle. Nas renovações previstas nas Leis nº 7.136, nº 7.365 e nº 7.366, dispensa apenas a reapresentação do laudo, mantidos os demais requisitos, inclusive a revisão de renda e residência — lógica que o Código Tributário do Município já adota ao prever que a documentação do primeiro pedido "poderá servir para os demais exercícios" (art. 180, § 1º). O processo segue instruído com nota técnica de impacto nulo. E a Administração continua podendo verificar, caso a caso e com contraditório, qualquer indício de fraude ou de que a deficiência deixou de existir, cruzar dados e atualizar o grau quando o benefício depender dele; a fraude continua punida, com restituição ao erário.</w:t>
      </w:r>
    </w:p>
    <w:p w:rsidR="008B4E21" w:rsidP="00D760D0" w14:paraId="741D5A61" w14:textId="25400F44">
      <w:pPr>
        <w:spacing w:line="276" w:lineRule="auto"/>
        <w:ind w:firstLine="1418"/>
        <w:jc w:val="both"/>
        <w:rPr>
          <w:rFonts w:ascii="Arial" w:eastAsia="Arial" w:hAnsi="Arial" w:cs="Arial"/>
          <w:sz w:val="24"/>
          <w:szCs w:val="24"/>
        </w:rPr>
      </w:pPr>
      <w:r w:rsidRPr="008B4E21">
        <w:rPr>
          <w:rFonts w:ascii="Arial" w:eastAsia="Arial" w:hAnsi="Arial" w:cs="Arial"/>
          <w:sz w:val="24"/>
          <w:szCs w:val="24"/>
        </w:rPr>
        <w:t>Não se trata de inovação arriscada. A própria União já dispensou a reavaliação periódica do beneficiário do BPC quando o impedimento é permanente (Lei nº 15.157/2025), e o Município de São Paulo (Lei nº 17.913/2023), o Estado de Minas Gerais (Lei nº 26.035/2026) e o Município de Belo Horizonte (Lei nº 11.908/2025) adotaram, para os seus benefícios, a mesma solução deste projeto. Esta Câmara, que aprovou por unanimidade as isenções para as famílias de pessoas com autismo e com síndrome de Down e criou a carteira da pessoa com síndrome de Down, tem agora a oportunidade de completar a própria obra: garantir que os direitos que instituiu não se percam em renovações que nada acrescentam. Sem custo para o erário e sem prejuízo do controle, o projeto devolve às famílias o tempo, o dinheiro e as consultas que hoje se perdem em exigências repetidas. Por isso, peço aos nobres pares o apoio a esta proposição − para que, em Sumaré, a burocracia jamais se sobreponha à dignidade de nosso povo.</w:t>
      </w:r>
    </w:p>
    <w:p w:rsidR="008B4E21" w:rsidP="008B4E21" w14:paraId="5221AC40" w14:textId="77777777">
      <w:pPr>
        <w:spacing w:line="336" w:lineRule="auto"/>
        <w:ind w:firstLine="1418"/>
        <w:jc w:val="both"/>
        <w:rPr>
          <w:rFonts w:ascii="Arial" w:eastAsia="Arial" w:hAnsi="Arial" w:cs="Arial"/>
          <w:sz w:val="24"/>
          <w:szCs w:val="24"/>
        </w:rPr>
      </w:pPr>
    </w:p>
    <w:p w:rsidR="008B4E21" w:rsidRPr="008B4E21" w:rsidP="008B4E21" w14:paraId="58EEF64D" w14:textId="77777777">
      <w:pPr>
        <w:spacing w:after="600" w:line="336" w:lineRule="auto"/>
        <w:jc w:val="right"/>
        <w:rPr>
          <w:rFonts w:ascii="Arial" w:eastAsia="Arial" w:hAnsi="Arial" w:cs="Arial"/>
          <w:sz w:val="24"/>
          <w:szCs w:val="24"/>
        </w:rPr>
      </w:pPr>
      <w:r w:rsidRPr="008B4E21">
        <w:rPr>
          <w:rFonts w:ascii="Arial" w:eastAsia="Arial" w:hAnsi="Arial" w:cs="Arial"/>
          <w:sz w:val="24"/>
          <w:szCs w:val="24"/>
        </w:rPr>
        <w:t xml:space="preserve">Sala das Sessões, 29 de </w:t>
      </w:r>
      <w:r w:rsidRPr="008B4E21">
        <w:rPr>
          <w:rFonts w:ascii="Arial" w:eastAsia="Arial" w:hAnsi="Arial" w:cs="Arial"/>
          <w:sz w:val="24"/>
          <w:szCs w:val="24"/>
        </w:rPr>
        <w:t>Setembro</w:t>
      </w:r>
      <w:r w:rsidRPr="008B4E21">
        <w:rPr>
          <w:rFonts w:ascii="Arial" w:eastAsia="Arial" w:hAnsi="Arial" w:cs="Arial"/>
          <w:sz w:val="24"/>
          <w:szCs w:val="24"/>
        </w:rPr>
        <w:t xml:space="preserve"> de 2026.</w:t>
      </w:r>
    </w:p>
    <w:p w:rsidR="00A4474E" w:rsidP="00A4474E" w14:paraId="504A1927" w14:textId="77777777">
      <w:pPr>
        <w:spacing w:after="0" w:line="276" w:lineRule="auto"/>
        <w:jc w:val="center"/>
        <w:rPr>
          <w:rFonts w:ascii="Arial" w:eastAsia="Arial" w:hAnsi="Arial" w:cs="Arial"/>
          <w:b/>
          <w:sz w:val="24"/>
          <w:szCs w:val="24"/>
          <w:lang w:eastAsia="en-US"/>
        </w:rPr>
      </w:pPr>
      <w:r>
        <w:rPr>
          <w:rFonts w:ascii="Arial" w:eastAsia="Arial" w:hAnsi="Arial" w:cs="Arial"/>
          <w:noProof/>
          <w:color w:val="000000"/>
          <w:sz w:val="24"/>
          <w:szCs w:val="24"/>
        </w:rPr>
        <w:drawing>
          <wp:inline distT="0" distB="0" distL="0" distR="0">
            <wp:extent cx="2124075" cy="962025"/>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87283" name="Imagem 2"/>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124075" cy="962025"/>
                    </a:xfrm>
                    <a:prstGeom prst="rect">
                      <a:avLst/>
                    </a:prstGeom>
                    <a:noFill/>
                    <a:ln>
                      <a:noFill/>
                    </a:ln>
                  </pic:spPr>
                </pic:pic>
              </a:graphicData>
            </a:graphic>
          </wp:inline>
        </w:drawing>
      </w:r>
    </w:p>
    <w:p w:rsidR="00A4474E" w:rsidP="00A4474E" w14:paraId="45B3DDEF" w14:textId="77777777">
      <w:pPr>
        <w:spacing w:after="0" w:line="276" w:lineRule="auto"/>
        <w:jc w:val="center"/>
        <w:rPr>
          <w:rFonts w:ascii="Arial" w:eastAsia="Arial" w:hAnsi="Arial" w:cs="Arial"/>
          <w:b/>
          <w:sz w:val="24"/>
          <w:szCs w:val="24"/>
        </w:rPr>
      </w:pPr>
      <w:r>
        <w:rPr>
          <w:rFonts w:ascii="Arial" w:eastAsia="Arial" w:hAnsi="Arial" w:cs="Arial"/>
          <w:b/>
          <w:sz w:val="24"/>
          <w:szCs w:val="24"/>
        </w:rPr>
        <w:t>César Bianchi</w:t>
      </w:r>
    </w:p>
    <w:p w:rsidR="00A4474E" w:rsidP="00A4474E" w14:paraId="205601D4" w14:textId="77777777">
      <w:pPr>
        <w:spacing w:after="0" w:line="276" w:lineRule="auto"/>
        <w:jc w:val="center"/>
        <w:rPr>
          <w:rFonts w:ascii="Arial" w:eastAsia="Arial" w:hAnsi="Arial" w:cs="Arial"/>
          <w:sz w:val="24"/>
          <w:szCs w:val="24"/>
        </w:rPr>
      </w:pPr>
      <w:r>
        <w:rPr>
          <w:rFonts w:ascii="Arial" w:eastAsia="Arial" w:hAnsi="Arial" w:cs="Arial"/>
          <w:sz w:val="24"/>
          <w:szCs w:val="24"/>
        </w:rPr>
        <w:t>Vereador</w:t>
      </w:r>
    </w:p>
    <w:p w:rsidR="00A4474E" w:rsidP="001C088E" w14:paraId="5AAD043E" w14:textId="2FD9787A">
      <w:pPr>
        <w:spacing w:after="0" w:line="276" w:lineRule="auto"/>
        <w:jc w:val="center"/>
      </w:pPr>
      <w:r>
        <w:rPr>
          <w:rFonts w:ascii="Arial" w:eastAsia="Arial" w:hAnsi="Arial" w:cs="Arial"/>
          <w:sz w:val="24"/>
          <w:szCs w:val="24"/>
        </w:rPr>
        <w:t>Partido Progressistas</w:t>
      </w:r>
    </w:p>
    <w:sectPr>
      <w:headerReference w:type="default" r:id="rId6"/>
      <w:footerReference w:type="even" r:id="rId7"/>
      <w:footerReference w:type="default" r:id="rId8"/>
      <w:footerReference w:type="first" r:id="rId9"/>
      <w:pgSz w:w="11906" w:h="16838"/>
      <w:pgMar w:top="1417" w:right="1274" w:bottom="1417" w:left="1418"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0DB" w14:paraId="726FB776"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heading=h.3znysh7" w:colFirst="0" w:colLast="0"/>
  <w:bookmarkEnd w:id="0"/>
  <w:p w:rsidR="00D700DB" w14:paraId="6073C11C" w14:textId="77777777">
    <w:r>
      <w:rPr>
        <w:noProof/>
      </w:rPr>
      <mc:AlternateContent>
        <mc:Choice Requires="wps">
          <w:drawing>
            <wp:anchor distT="0" distB="0" distL="114300" distR="114300" simplePos="0" relativeHeight="251662336" behindDoc="0" locked="0" layoutInCell="1" allowOverlap="1">
              <wp:simplePos x="0" y="0"/>
              <wp:positionH relativeFrom="column">
                <wp:posOffset>-330199</wp:posOffset>
              </wp:positionH>
              <wp:positionV relativeFrom="paragraph">
                <wp:posOffset>50800</wp:posOffset>
              </wp:positionV>
              <wp:extent cx="6300527" cy="76200"/>
              <wp:effectExtent l="0" t="0" r="0" b="0"/>
              <wp:wrapNone/>
              <wp:docPr id="1527961940" name="Conector de Seta Reta 1527961940"/>
              <wp:cNvGraphicFramePr/>
              <a:graphic xmlns:a="http://schemas.openxmlformats.org/drawingml/2006/main">
                <a:graphicData uri="http://schemas.microsoft.com/office/word/2010/wordprocessingShape">
                  <wps:wsp xmlns:wps="http://schemas.microsoft.com/office/word/2010/wordprocessingShape">
                    <wps:cNvCnPr/>
                    <wps:spPr>
                      <a:xfrm>
                        <a:off x="2227487" y="3780000"/>
                        <a:ext cx="6237027" cy="0"/>
                      </a:xfrm>
                      <a:prstGeom prst="straightConnector1">
                        <a:avLst/>
                      </a:prstGeom>
                      <a:noFill/>
                      <a:ln w="12700">
                        <a:solidFill>
                          <a:schemeClr val="accent1"/>
                        </a:solidFill>
                        <a:prstDash val="solid"/>
                        <a:miter lim="800000"/>
                        <a:headEnd w="sm" len="sm"/>
                        <a:tailEnd w="sm" len="sm"/>
                      </a:ln>
                    </wps:spPr>
                    <wps:bodyPr/>
                  </wps:wsp>
                </a:graphicData>
              </a:graphic>
            </wp:anchor>
          </w:drawing>
        </mc:Choice>
        <mc:Fallback>
          <w:drawing>
            <wp:anchor distT="0" distB="0" distL="114300" distR="114300" simplePos="0" relativeHeight="251659264" behindDoc="0" locked="0" layoutInCell="1" allowOverlap="1">
              <wp:simplePos x="0" y="0"/>
              <wp:positionH relativeFrom="column">
                <wp:posOffset>-330199</wp:posOffset>
              </wp:positionH>
              <wp:positionV relativeFrom="paragraph">
                <wp:posOffset>50800</wp:posOffset>
              </wp:positionV>
              <wp:extent cx="6300527" cy="76200"/>
              <wp:effectExtent l="0" t="0" r="0" b="0"/>
              <wp:wrapNone/>
              <wp:docPr id="1983675612" name="image2.png"/>
              <wp:cNvGraphicFramePr/>
              <a:graphic xmlns:a="http://schemas.openxmlformats.org/drawingml/2006/main">
                <a:graphicData uri="http://schemas.openxmlformats.org/drawingml/2006/picture">
                  <pic:pic xmlns:pic="http://schemas.openxmlformats.org/drawingml/2006/picture">
                    <pic:nvPicPr>
                      <pic:cNvPr id="812327224" name="image2.png"/>
                      <pic:cNvPicPr/>
                    </pic:nvPicPr>
                    <pic:blipFill>
                      <a:blip xmlns:r="http://schemas.openxmlformats.org/officeDocument/2006/relationships" r:embed="rId1"/>
                      <a:stretch>
                        <a:fillRect/>
                      </a:stretch>
                    </pic:blipFill>
                    <pic:spPr>
                      <a:xfrm>
                        <a:off x="0" y="0"/>
                        <a:ext cx="6300527" cy="76200"/>
                      </a:xfrm>
                      <a:prstGeom prst="rect">
                        <a:avLst/>
                      </a:prstGeom>
                    </pic:spPr>
                  </pic:pic>
                </a:graphicData>
              </a:graphic>
            </wp:anchor>
          </w:drawing>
        </mc:Fallback>
      </mc:AlternateContent>
    </w:r>
  </w:p>
  <w:p w:rsidR="00D700DB" w14:paraId="53C44A81" w14:textId="77777777">
    <w:r>
      <w:t>TRAVESSA 1º CENTENÁRIO, 32, CENTRO, SUMARÉ - SP CEP 13170-031 | TELEFONE (19) 3883-8833 | www.camarasumare.sp.gov.br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0DB" w14:paraId="224FDC5C"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00DB" w14:paraId="406188F9" w14:textId="77777777">
    <w:r>
      <w:rPr>
        <w:noProof/>
      </w:rPr>
      <w:drawing>
        <wp:inline distT="0" distB="0" distL="0" distR="0">
          <wp:extent cx="1526058" cy="534121"/>
          <wp:effectExtent l="0" t="0" r="0" b="0"/>
          <wp:docPr id="1527961942" name="image1.png"/>
          <wp:cNvGraphicFramePr/>
          <a:graphic xmlns:a="http://schemas.openxmlformats.org/drawingml/2006/main">
            <a:graphicData uri="http://schemas.openxmlformats.org/drawingml/2006/picture">
              <pic:pic xmlns:pic="http://schemas.openxmlformats.org/drawingml/2006/picture">
                <pic:nvPicPr>
                  <pic:cNvPr id="1824896662" name="image1.png"/>
                  <pic:cNvPicPr/>
                </pic:nvPicPr>
                <pic:blipFill>
                  <a:blip xmlns:r="http://schemas.openxmlformats.org/officeDocument/2006/relationships" r:embed="rId1"/>
                  <a:stretch>
                    <a:fillRect/>
                  </a:stretch>
                </pic:blipFill>
                <pic:spPr>
                  <a:xfrm>
                    <a:off x="0" y="0"/>
                    <a:ext cx="1526058" cy="534121"/>
                  </a:xfrm>
                  <a:prstGeom prst="rect">
                    <a:avLst/>
                  </a:prstGeom>
                </pic:spPr>
              </pic:pic>
            </a:graphicData>
          </a:graphic>
        </wp:inline>
      </w:drawing>
    </w:r>
    <w:r>
      <w:rPr>
        <w:noProof/>
      </w:rPr>
      <mc:AlternateContent>
        <mc:Choice Requires="wpg">
          <w:drawing>
            <wp:anchor distT="0" distB="0" distL="0" distR="0" simplePos="0" relativeHeight="251660288" behindDoc="1" locked="0" layoutInCell="1" allowOverlap="1">
              <wp:simplePos x="0" y="0"/>
              <wp:positionH relativeFrom="column">
                <wp:posOffset>-800099</wp:posOffset>
              </wp:positionH>
              <wp:positionV relativeFrom="paragraph">
                <wp:posOffset>0</wp:posOffset>
              </wp:positionV>
              <wp:extent cx="7557712" cy="10270358"/>
              <wp:effectExtent l="0" t="0" r="0" b="0"/>
              <wp:wrapNone/>
              <wp:docPr id="1527961941" name="Agrupar 1527961941"/>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1567125" y="0"/>
                        <a:chExt cx="7557750" cy="7560000"/>
                      </a:xfrm>
                    </wpg:grpSpPr>
                    <wpg:grpSp>
                      <wpg:cNvPr id="1" name="Agrupar 1"/>
                      <wpg:cNvGrpSpPr/>
                      <wpg:grpSpPr>
                        <a:xfrm>
                          <a:off x="1567144" y="0"/>
                          <a:ext cx="7557712" cy="7560000"/>
                          <a:chOff x="1567125" y="0"/>
                          <a:chExt cx="7557750" cy="7560000"/>
                        </a:xfrm>
                      </wpg:grpSpPr>
                      <wps:wsp xmlns:wps="http://schemas.microsoft.com/office/word/2010/wordprocessingShape">
                        <wps:cNvPr id="2" name="Retângulo 2"/>
                        <wps:cNvSpPr/>
                        <wps:spPr>
                          <a:xfrm>
                            <a:off x="1567125" y="0"/>
                            <a:ext cx="7557750" cy="7560000"/>
                          </a:xfrm>
                          <a:prstGeom prst="rect">
                            <a:avLst/>
                          </a:prstGeom>
                          <a:noFill/>
                          <a:ln>
                            <a:noFill/>
                          </a:ln>
                        </wps:spPr>
                        <wps:txbx>
                          <w:txbxContent>
                            <w:p w:rsidR="00D700DB" w14:textId="77777777">
                              <w:pPr>
                                <w:spacing w:after="0" w:line="240" w:lineRule="auto"/>
                              </w:pPr>
                            </w:p>
                          </w:txbxContent>
                        </wps:txbx>
                        <wps:bodyPr spcFirstLastPara="1" wrap="square" lIns="91425" tIns="91425" rIns="91425" bIns="91425" anchor="ctr" anchorCtr="0"/>
                      </wps:wsp>
                      <wpg:grpSp>
                        <wpg:cNvPr id="3" name="Agrupar 3"/>
                        <wpg:cNvGrpSpPr/>
                        <wpg:grpSpPr>
                          <a:xfrm>
                            <a:off x="1567144" y="0"/>
                            <a:ext cx="7557712" cy="7560000"/>
                            <a:chOff x="1567125" y="0"/>
                            <a:chExt cx="7557750" cy="7560000"/>
                          </a:xfrm>
                        </wpg:grpSpPr>
                        <wps:wsp xmlns:wps="http://schemas.microsoft.com/office/word/2010/wordprocessingShape">
                          <wps:cNvPr id="4" name="Retângulo 4"/>
                          <wps:cNvSpPr/>
                          <wps:spPr>
                            <a:xfrm>
                              <a:off x="1567125" y="0"/>
                              <a:ext cx="7557750" cy="7560000"/>
                            </a:xfrm>
                            <a:prstGeom prst="rect">
                              <a:avLst/>
                            </a:prstGeom>
                            <a:noFill/>
                            <a:ln>
                              <a:noFill/>
                            </a:ln>
                          </wps:spPr>
                          <wps:txbx>
                            <w:txbxContent>
                              <w:p w:rsidR="00D700DB" w14:textId="77777777">
                                <w:pPr>
                                  <w:spacing w:after="0" w:line="240" w:lineRule="auto"/>
                                </w:pPr>
                              </w:p>
                            </w:txbxContent>
                          </wps:txbx>
                          <wps:bodyPr spcFirstLastPara="1" wrap="square" lIns="91425" tIns="91425" rIns="91425" bIns="91425" anchor="ctr" anchorCtr="0"/>
                        </wps:wsp>
                        <wpg:grpSp>
                          <wpg:cNvPr id="5" name="Agrupar 5"/>
                          <wpg:cNvGrpSpPr/>
                          <wpg:grpSpPr>
                            <a:xfrm>
                              <a:off x="1567144" y="0"/>
                              <a:ext cx="7557712" cy="7560000"/>
                              <a:chOff x="1567144" y="0"/>
                              <a:chExt cx="7557712" cy="7560000"/>
                            </a:xfrm>
                          </wpg:grpSpPr>
                          <wps:wsp xmlns:wps="http://schemas.microsoft.com/office/word/2010/wordprocessingShape">
                            <wps:cNvPr id="6" name="Retângulo 6"/>
                            <wps:cNvSpPr/>
                            <wps:spPr>
                              <a:xfrm>
                                <a:off x="1567144" y="0"/>
                                <a:ext cx="7557700" cy="7560000"/>
                              </a:xfrm>
                              <a:prstGeom prst="rect">
                                <a:avLst/>
                              </a:prstGeom>
                              <a:noFill/>
                              <a:ln>
                                <a:noFill/>
                              </a:ln>
                            </wps:spPr>
                            <wps:txbx>
                              <w:txbxContent>
                                <w:p w:rsidR="00D700DB" w14:textId="77777777">
                                  <w:pPr>
                                    <w:spacing w:after="0" w:line="240" w:lineRule="auto"/>
                                  </w:pPr>
                                </w:p>
                              </w:txbxContent>
                            </wps:txbx>
                            <wps:bodyPr spcFirstLastPara="1" wrap="square" lIns="91425" tIns="91425" rIns="91425" bIns="91425" anchor="ctr" anchorCtr="0"/>
                          </wps:wsp>
                          <wpg:grpSp>
                            <wpg:cNvPr id="7" name="Agrupar 7"/>
                            <wpg:cNvGrpSpPr/>
                            <wpg:grpSpPr>
                              <a:xfrm>
                                <a:off x="1567144" y="0"/>
                                <a:ext cx="7557712" cy="7560000"/>
                                <a:chOff x="1567144" y="0"/>
                                <a:chExt cx="7557712" cy="7560000"/>
                              </a:xfrm>
                            </wpg:grpSpPr>
                            <wps:wsp xmlns:wps="http://schemas.microsoft.com/office/word/2010/wordprocessingShape">
                              <wps:cNvPr id="8" name="Retângulo 8"/>
                              <wps:cNvSpPr/>
                              <wps:spPr>
                                <a:xfrm>
                                  <a:off x="1567144" y="0"/>
                                  <a:ext cx="7557700" cy="7560000"/>
                                </a:xfrm>
                                <a:prstGeom prst="rect">
                                  <a:avLst/>
                                </a:prstGeom>
                                <a:noFill/>
                                <a:ln>
                                  <a:noFill/>
                                </a:ln>
                              </wps:spPr>
                              <wps:txbx>
                                <w:txbxContent>
                                  <w:p w:rsidR="00D700DB" w14:textId="77777777">
                                    <w:pPr>
                                      <w:spacing w:after="0" w:line="240" w:lineRule="auto"/>
                                    </w:pPr>
                                  </w:p>
                                </w:txbxContent>
                              </wps:txbx>
                              <wps:bodyPr spcFirstLastPara="1" wrap="square" lIns="91425" tIns="91425" rIns="91425" bIns="91425" anchor="ctr" anchorCtr="0"/>
                            </wps:wsp>
                            <wpg:grpSp>
                              <wpg:cNvPr id="9" name="Agrupar 9"/>
                              <wpg:cNvGrpSpPr/>
                              <wpg:grpSpPr>
                                <a:xfrm>
                                  <a:off x="1567144" y="0"/>
                                  <a:ext cx="7557712" cy="7560000"/>
                                  <a:chOff x="1567144" y="0"/>
                                  <a:chExt cx="7557712" cy="7560000"/>
                                </a:xfrm>
                              </wpg:grpSpPr>
                              <wps:wsp xmlns:wps="http://schemas.microsoft.com/office/word/2010/wordprocessingShape">
                                <wps:cNvPr id="10" name="Retângulo 10"/>
                                <wps:cNvSpPr/>
                                <wps:spPr>
                                  <a:xfrm>
                                    <a:off x="1567144" y="0"/>
                                    <a:ext cx="7557700" cy="7560000"/>
                                  </a:xfrm>
                                  <a:prstGeom prst="rect">
                                    <a:avLst/>
                                  </a:prstGeom>
                                  <a:noFill/>
                                  <a:ln>
                                    <a:noFill/>
                                  </a:ln>
                                </wps:spPr>
                                <wps:txbx>
                                  <w:txbxContent>
                                    <w:p w:rsidR="00D700DB" w14:textId="77777777">
                                      <w:pPr>
                                        <w:spacing w:after="0" w:line="240" w:lineRule="auto"/>
                                      </w:pPr>
                                    </w:p>
                                  </w:txbxContent>
                                </wps:txbx>
                                <wps:bodyPr spcFirstLastPara="1" wrap="square" lIns="91425" tIns="91425" rIns="91425" bIns="91425" anchor="ctr" anchorCtr="0"/>
                              </wps:wsp>
                              <wpg:grpSp>
                                <wpg:cNvPr id="11" name="Agrupar 11"/>
                                <wpg:cNvGrpSpPr/>
                                <wpg:grpSpPr>
                                  <a:xfrm>
                                    <a:off x="1567144" y="0"/>
                                    <a:ext cx="7557712" cy="7560000"/>
                                    <a:chOff x="0" y="0"/>
                                    <a:chExt cx="7557712" cy="10270358"/>
                                  </a:xfrm>
                                </wpg:grpSpPr>
                                <wps:wsp xmlns:wps="http://schemas.microsoft.com/office/word/2010/wordprocessingShape">
                                  <wps:cNvPr id="12" name="Retângulo 12"/>
                                  <wps:cNvSpPr/>
                                  <wps:spPr>
                                    <a:xfrm>
                                      <a:off x="0" y="0"/>
                                      <a:ext cx="7557700" cy="10270350"/>
                                    </a:xfrm>
                                    <a:prstGeom prst="rect">
                                      <a:avLst/>
                                    </a:prstGeom>
                                    <a:noFill/>
                                    <a:ln>
                                      <a:noFill/>
                                    </a:ln>
                                  </wps:spPr>
                                  <wps:txbx>
                                    <w:txbxContent>
                                      <w:p w:rsidR="00D700DB" w14:textId="77777777">
                                        <w:pPr>
                                          <w:spacing w:after="0" w:line="240" w:lineRule="auto"/>
                                        </w:pPr>
                                      </w:p>
                                    </w:txbxContent>
                                  </wps:txbx>
                                  <wps:bodyPr spcFirstLastPara="1" wrap="square" lIns="91425" tIns="91425" rIns="91425" bIns="91425" anchor="ctr" anchorCtr="0"/>
                                </wps:wsp>
                                <wps:wsp xmlns:wps="http://schemas.microsoft.com/office/word/2010/wordprocessingShape">
                                  <wps:cNvPr id="13" name="Forma Livre: Forma 13"/>
                                  <wps:cNvSpPr/>
                                  <wps:spPr>
                                    <a:xfrm>
                                      <a:off x="973776" y="6519554"/>
                                      <a:ext cx="6583680" cy="1936750"/>
                                    </a:xfrm>
                                    <a:custGeom>
                                      <a:avLst/>
                                      <a:gdLst/>
                                      <a:rect l="l" t="t"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wps:spPr>
                                  <wps:bodyPr spcFirstLastPara="1" wrap="square" lIns="91425" tIns="91425" rIns="91425" bIns="91425" anchor="ctr" anchorCtr="0"/>
                                </wps:wsp>
                                <wps:wsp xmlns:wps="http://schemas.microsoft.com/office/word/2010/wordprocessingShape">
                                  <wps:cNvPr id="14" name="Forma Livre: Forma 14"/>
                                  <wps:cNvSpPr/>
                                  <wps:spPr>
                                    <a:xfrm>
                                      <a:off x="0" y="2671948"/>
                                      <a:ext cx="3875405" cy="7598410"/>
                                    </a:xfrm>
                                    <a:custGeom>
                                      <a:avLst/>
                                      <a:gdLst/>
                                      <a:rect l="l" t="t"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wps:spPr>
                                  <wps:bodyPr spcFirstLastPara="1" wrap="square" lIns="91425" tIns="91425" rIns="91425" bIns="91425" anchor="ctr" anchorCtr="0"/>
                                </wps:wsp>
                                <wps:wsp xmlns:wps="http://schemas.microsoft.com/office/word/2010/wordprocessingShape">
                                  <wps:cNvPr id="15" name="Forma Livre: Forma 15"/>
                                  <wps:cNvSpPr/>
                                  <wps:spPr>
                                    <a:xfrm>
                                      <a:off x="4655127" y="0"/>
                                      <a:ext cx="2902585" cy="10264140"/>
                                    </a:xfrm>
                                    <a:custGeom>
                                      <a:avLst/>
                                      <a:gdLst/>
                                      <a:rect l="l" t="t"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wps:spPr>
                                  <wps:bodyPr spcFirstLastPara="1" wrap="square" lIns="91425" tIns="91425" rIns="91425" bIns="91425" anchor="ctr" anchorCtr="0"/>
                                </wps:wsp>
                              </wpg:grpSp>
                            </wpg:grpSp>
                          </wpg:grpSp>
                        </wpg:grpSp>
                      </wpg:grpSp>
                    </wpg:grpSp>
                  </wpg:wgp>
                </a:graphicData>
              </a:graphic>
            </wp:anchor>
          </w:drawing>
        </mc:Choice>
        <mc:Fallback>
          <w:pict>
            <v:group id="Agrupar 1527961941" o:spid="_x0000_s2049" style="width:595.1pt;height:808.7pt;margin-top:0;margin-left:-63pt;mso-wrap-distance-left:0;mso-wrap-distance-right:0;position:absolute;z-index:-251655168" coordorigin="15671,0" coordsize="75577,75600">
              <v:group id="Agrupar 1" o:spid="_x0000_s2050" style="width:75577;height:75600;left:15671;position:absolute" coordorigin="15671,0" coordsize="75577,75600">
                <v:rect id="Retângulo 2" o:spid="_x0000_s2051" style="width:75577;height:75600;left:15671;mso-wrap-style:square;position:absolute;visibility:visible;v-text-anchor:middle" filled="f" stroked="f">
                  <v:textbox inset="7.2pt,7.2pt,7.2pt,7.2pt">
                    <w:txbxContent>
                      <w:p w:rsidR="00D700DB" w14:paraId="02D649E6" w14:textId="77777777">
                        <w:pPr>
                          <w:spacing w:after="0" w:line="240" w:lineRule="auto"/>
                        </w:pPr>
                      </w:p>
                    </w:txbxContent>
                  </v:textbox>
                </v:rect>
                <v:group id="Agrupar 3" o:spid="_x0000_s2052" style="width:75577;height:75600;left:15671;position:absolute" coordorigin="15671,0" coordsize="75577,75600">
                  <v:rect id="Retângulo 4" o:spid="_x0000_s2053" style="width:75577;height:75600;left:15671;mso-wrap-style:square;position:absolute;visibility:visible;v-text-anchor:middle" filled="f" stroked="f">
                    <v:textbox inset="7.2pt,7.2pt,7.2pt,7.2pt">
                      <w:txbxContent>
                        <w:p w:rsidR="00D700DB" w14:paraId="5F3B85A6" w14:textId="77777777">
                          <w:pPr>
                            <w:spacing w:after="0" w:line="240" w:lineRule="auto"/>
                          </w:pPr>
                        </w:p>
                      </w:txbxContent>
                    </v:textbox>
                  </v:rect>
                  <v:group id="Agrupar 5" o:spid="_x0000_s2054" style="width:75577;height:75600;left:15671;position:absolute" coordorigin="15671,0" coordsize="75577,75600">
                    <v:rect id="Retângulo 6" o:spid="_x0000_s2055" style="width:75577;height:75600;left:15671;mso-wrap-style:square;position:absolute;visibility:visible;v-text-anchor:middle" filled="f" stroked="f">
                      <v:textbox inset="7.2pt,7.2pt,7.2pt,7.2pt">
                        <w:txbxContent>
                          <w:p w:rsidR="00D700DB" w14:paraId="07BBE92A" w14:textId="77777777">
                            <w:pPr>
                              <w:spacing w:after="0" w:line="240" w:lineRule="auto"/>
                            </w:pPr>
                          </w:p>
                        </w:txbxContent>
                      </v:textbox>
                    </v:rect>
                    <v:group id="Agrupar 7" o:spid="_x0000_s2056" style="width:75577;height:75600;left:15671;position:absolute" coordorigin="15671,0" coordsize="75577,75600">
                      <v:rect id="Retângulo 8" o:spid="_x0000_s2057" style="width:75577;height:75600;left:15671;mso-wrap-style:square;position:absolute;visibility:visible;v-text-anchor:middle" filled="f" stroked="f">
                        <v:textbox inset="7.2pt,7.2pt,7.2pt,7.2pt">
                          <w:txbxContent>
                            <w:p w:rsidR="00D700DB" w14:paraId="6563CB36" w14:textId="77777777">
                              <w:pPr>
                                <w:spacing w:after="0" w:line="240" w:lineRule="auto"/>
                              </w:pPr>
                            </w:p>
                          </w:txbxContent>
                        </v:textbox>
                      </v:rect>
                      <v:group id="Agrupar 9" o:spid="_x0000_s2058" style="width:75577;height:75600;left:15671;position:absolute" coordorigin="15671,0" coordsize="75577,75600">
                        <v:rect id="Retângulo 10" o:spid="_x0000_s2059" style="width:75577;height:75600;left:15671;mso-wrap-style:square;position:absolute;visibility:visible;v-text-anchor:middle" filled="f" stroked="f">
                          <v:textbox inset="7.2pt,7.2pt,7.2pt,7.2pt">
                            <w:txbxContent>
                              <w:p w:rsidR="00D700DB" w14:paraId="4D656B65" w14:textId="77777777">
                                <w:pPr>
                                  <w:spacing w:after="0" w:line="240" w:lineRule="auto"/>
                                </w:pPr>
                              </w:p>
                            </w:txbxContent>
                          </v:textbox>
                        </v:rect>
                        <v:group id="Agrupar 11" o:spid="_x0000_s2060" style="width:75577;height:75600;left:15671;position:absolute" coordsize="75577,102703">
                          <v:rect id="Retângulo 12" o:spid="_x0000_s2061" style="width:75577;height:102703;mso-wrap-style:square;position:absolute;visibility:visible;v-text-anchor:middle" filled="f" stroked="f">
                            <v:textbox inset="7.2pt,7.2pt,7.2pt,7.2pt">
                              <w:txbxContent>
                                <w:p w:rsidR="00D700DB" w14:paraId="17C0A625" w14:textId="77777777">
                                  <w:pPr>
                                    <w:spacing w:after="0" w:line="240" w:lineRule="auto"/>
                                  </w:pPr>
                                </w:p>
                              </w:txbxContent>
                            </v:textbox>
                          </v:rect>
                          <v:shape id="Forma Livre: Forma 13" o:spid="_x0000_s2062" style="width:65837;height:19368;left:9737;mso-wrap-style:square;position:absolute;top:65195;visibility:visible;v-text-anchor:middle"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extrusionok="f"/>
                          </v:shape>
                          <v:shape id="Forma Livre: Forma 14" o:spid="_x0000_s2063" style="width:38754;height:75984;mso-wrap-style:square;position:absolute;top:26719;visibility:visible;v-text-anchor:middle"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extrusionok="f"/>
                          </v:shape>
                          <v:shape id="Forma Livre: Forma 15" o:spid="_x0000_s2064" style="width:29026;height:102641;left:46551;mso-wrap-style:square;position:absolute;visibility:visible;v-text-anchor:middle"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extrusionok="f"/>
                          </v:shape>
                        </v:group>
                      </v:group>
                    </v:group>
                  </v:group>
                </v:group>
              </v:group>
            </v:group>
          </w:pict>
        </mc:Fallback>
      </mc:AlternateContent>
    </w:r>
    <w:r>
      <w:drawing>
        <wp:anchor simplePos="0" relativeHeight="251658240" behindDoc="0" locked="0" layoutInCell="1" allowOverlap="1">
          <wp:simplePos x="0" y="0"/>
          <wp:positionH relativeFrom="rightMargin">
            <wp:align>center</wp:align>
          </wp:positionH>
          <wp:positionV relativeFrom="page">
            <wp:align>center</wp:align>
          </wp:positionV>
          <wp:extent cx="381000" cy="8782050"/>
          <wp:wrapNone/>
          <wp:docPr id="100038"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
                  <a:stretch>
                    <a:fillRect/>
                  </a:stretch>
                </pic:blipFill>
                <pic:spPr>
                  <a:xfrm>
                    <a:off x="0" y="0"/>
                    <a:ext cx="381000" cy="8782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4EF24B6"/>
    <w:multiLevelType w:val="hybridMultilevel"/>
    <w:tmpl w:val="2F70588E"/>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CB4AF7"/>
    <w:multiLevelType w:val="multilevel"/>
    <w:tmpl w:val="4B04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E44DEC"/>
    <w:multiLevelType w:val="hybridMultilevel"/>
    <w:tmpl w:val="2BAE0760"/>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AC10DD9"/>
    <w:multiLevelType w:val="hybridMultilevel"/>
    <w:tmpl w:val="D376D744"/>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0DB"/>
    <w:rsid w:val="000218B7"/>
    <w:rsid w:val="000739A9"/>
    <w:rsid w:val="00081631"/>
    <w:rsid w:val="00090707"/>
    <w:rsid w:val="000E2B57"/>
    <w:rsid w:val="000F2A98"/>
    <w:rsid w:val="00166C90"/>
    <w:rsid w:val="001731A3"/>
    <w:rsid w:val="001C088E"/>
    <w:rsid w:val="001E52E7"/>
    <w:rsid w:val="00246E93"/>
    <w:rsid w:val="003E0B1E"/>
    <w:rsid w:val="004023DD"/>
    <w:rsid w:val="004A1900"/>
    <w:rsid w:val="00520110"/>
    <w:rsid w:val="005237DB"/>
    <w:rsid w:val="005832BE"/>
    <w:rsid w:val="005E0DBD"/>
    <w:rsid w:val="00671AD0"/>
    <w:rsid w:val="00685E7C"/>
    <w:rsid w:val="006E7FF2"/>
    <w:rsid w:val="006F55AA"/>
    <w:rsid w:val="007046BD"/>
    <w:rsid w:val="007177F2"/>
    <w:rsid w:val="007476B7"/>
    <w:rsid w:val="00771915"/>
    <w:rsid w:val="00774976"/>
    <w:rsid w:val="008070C3"/>
    <w:rsid w:val="008B4E21"/>
    <w:rsid w:val="009521AB"/>
    <w:rsid w:val="009C09CC"/>
    <w:rsid w:val="00A4474E"/>
    <w:rsid w:val="00B01755"/>
    <w:rsid w:val="00B03659"/>
    <w:rsid w:val="00B463BE"/>
    <w:rsid w:val="00B96E43"/>
    <w:rsid w:val="00B979CB"/>
    <w:rsid w:val="00BB1064"/>
    <w:rsid w:val="00C51518"/>
    <w:rsid w:val="00D06B7E"/>
    <w:rsid w:val="00D700DB"/>
    <w:rsid w:val="00D760D0"/>
    <w:rsid w:val="00E638B0"/>
    <w:rsid w:val="00E65655"/>
    <w:rsid w:val="00E711BE"/>
    <w:rsid w:val="00F03839"/>
    <w:rsid w:val="00F667F1"/>
    <w:rsid w:val="00FB472C"/>
    <w:rsid w:val="00FB6868"/>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3425F0A3-5944-4E2E-A47C-F315ABF71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0"/>
    <w:next w:val="Normal0"/>
    <w:uiPriority w:val="9"/>
    <w:qFormat/>
    <w:pPr>
      <w:keepNext/>
      <w:keepLines/>
      <w:spacing w:before="480" w:after="120"/>
      <w:outlineLvl w:val="0"/>
    </w:pPr>
    <w:rPr>
      <w:b/>
      <w:sz w:val="48"/>
      <w:szCs w:val="48"/>
    </w:rPr>
  </w:style>
  <w:style w:type="paragraph" w:styleId="Heading2">
    <w:name w:val="heading 2"/>
    <w:basedOn w:val="Normal0"/>
    <w:next w:val="Normal0"/>
    <w:uiPriority w:val="9"/>
    <w:semiHidden/>
    <w:unhideWhenUsed/>
    <w:qFormat/>
    <w:pPr>
      <w:keepNext/>
      <w:keepLines/>
      <w:spacing w:before="360" w:after="80"/>
      <w:outlineLvl w:val="1"/>
    </w:pPr>
    <w:rPr>
      <w:b/>
      <w:sz w:val="36"/>
      <w:szCs w:val="36"/>
    </w:rPr>
  </w:style>
  <w:style w:type="paragraph" w:styleId="Heading3">
    <w:name w:val="heading 3"/>
    <w:basedOn w:val="Normal0"/>
    <w:next w:val="Normal0"/>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0"/>
    <w:next w:val="Normal0"/>
    <w:uiPriority w:val="9"/>
    <w:semiHidden/>
    <w:unhideWhenUsed/>
    <w:qFormat/>
    <w:pPr>
      <w:keepNext/>
      <w:keepLines/>
      <w:spacing w:before="240" w:after="40"/>
      <w:outlineLvl w:val="3"/>
    </w:pPr>
    <w:rPr>
      <w:b/>
      <w:sz w:val="24"/>
      <w:szCs w:val="24"/>
    </w:rPr>
  </w:style>
  <w:style w:type="paragraph" w:styleId="Heading5">
    <w:name w:val="heading 5"/>
    <w:basedOn w:val="Normal0"/>
    <w:next w:val="Normal0"/>
    <w:uiPriority w:val="9"/>
    <w:semiHidden/>
    <w:unhideWhenUsed/>
    <w:qFormat/>
    <w:pPr>
      <w:keepNext/>
      <w:keepLines/>
      <w:spacing w:before="220" w:after="40"/>
      <w:outlineLvl w:val="4"/>
    </w:pPr>
    <w:rPr>
      <w:b/>
    </w:rPr>
  </w:style>
  <w:style w:type="paragraph" w:styleId="Heading6">
    <w:name w:val="heading 6"/>
    <w:basedOn w:val="Normal0"/>
    <w:next w:val="Normal0"/>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Title">
    <w:name w:val="Title"/>
    <w:basedOn w:val="Normal0"/>
    <w:next w:val="Normal0"/>
    <w:uiPriority w:val="10"/>
    <w:qFormat/>
    <w:pPr>
      <w:keepNext/>
      <w:keepLines/>
      <w:spacing w:before="480" w:after="120"/>
    </w:pPr>
    <w:rPr>
      <w:b/>
      <w:sz w:val="72"/>
      <w:szCs w:val="72"/>
    </w:rPr>
  </w:style>
  <w:style w:type="table" w:customStyle="1" w:styleId="TableNormal1">
    <w:name w:val="Table Normal_1"/>
    <w:tblPr>
      <w:tblCellMar>
        <w:top w:w="0" w:type="dxa"/>
        <w:left w:w="0" w:type="dxa"/>
        <w:bottom w:w="0" w:type="dxa"/>
        <w:right w:w="0" w:type="dxa"/>
      </w:tblCellMar>
    </w:tblPr>
  </w:style>
  <w:style w:type="paragraph" w:customStyle="1" w:styleId="Normal0">
    <w:name w:val="Normal_0"/>
    <w:qFormat/>
    <w:rsid w:val="000D4195"/>
  </w:style>
  <w:style w:type="paragraph" w:customStyle="1" w:styleId="Heading10">
    <w:name w:val="Heading 1_0"/>
    <w:basedOn w:val="Normal0"/>
    <w:next w:val="Normal0"/>
    <w:uiPriority w:val="9"/>
    <w:qFormat/>
    <w:pPr>
      <w:keepNext/>
      <w:keepLines/>
      <w:spacing w:before="480" w:after="120"/>
      <w:outlineLvl w:val="0"/>
    </w:pPr>
    <w:rPr>
      <w:b/>
      <w:sz w:val="48"/>
      <w:szCs w:val="48"/>
    </w:rPr>
  </w:style>
  <w:style w:type="paragraph" w:customStyle="1" w:styleId="Heading20">
    <w:name w:val="Heading 2_0"/>
    <w:basedOn w:val="Normal0"/>
    <w:next w:val="Normal0"/>
    <w:uiPriority w:val="9"/>
    <w:semiHidden/>
    <w:unhideWhenUsed/>
    <w:qFormat/>
    <w:pPr>
      <w:keepNext/>
      <w:keepLines/>
      <w:spacing w:before="360" w:after="80"/>
      <w:outlineLvl w:val="1"/>
    </w:pPr>
    <w:rPr>
      <w:b/>
      <w:sz w:val="36"/>
      <w:szCs w:val="36"/>
    </w:rPr>
  </w:style>
  <w:style w:type="paragraph" w:customStyle="1" w:styleId="Heading30">
    <w:name w:val="Heading 3_0"/>
    <w:basedOn w:val="Normal0"/>
    <w:link w:val="Ttulo3Char"/>
    <w:uiPriority w:val="9"/>
    <w:semiHidden/>
    <w:unhideWhenUsed/>
    <w:qFormat/>
    <w:rsid w:val="006C41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customStyle="1" w:styleId="Heading40">
    <w:name w:val="Heading 4_0"/>
    <w:basedOn w:val="Normal0"/>
    <w:next w:val="Normal0"/>
    <w:uiPriority w:val="9"/>
    <w:semiHidden/>
    <w:unhideWhenUsed/>
    <w:qFormat/>
    <w:pPr>
      <w:keepNext/>
      <w:keepLines/>
      <w:spacing w:before="240" w:after="40"/>
      <w:outlineLvl w:val="3"/>
    </w:pPr>
    <w:rPr>
      <w:b/>
      <w:sz w:val="24"/>
      <w:szCs w:val="24"/>
    </w:rPr>
  </w:style>
  <w:style w:type="paragraph" w:customStyle="1" w:styleId="Heading50">
    <w:name w:val="Heading 5_0"/>
    <w:basedOn w:val="Normal0"/>
    <w:next w:val="Normal0"/>
    <w:uiPriority w:val="9"/>
    <w:semiHidden/>
    <w:unhideWhenUsed/>
    <w:qFormat/>
    <w:pPr>
      <w:keepNext/>
      <w:keepLines/>
      <w:spacing w:before="220" w:after="40"/>
      <w:outlineLvl w:val="4"/>
    </w:pPr>
    <w:rPr>
      <w:b/>
    </w:rPr>
  </w:style>
  <w:style w:type="paragraph" w:customStyle="1" w:styleId="Heading60">
    <w:name w:val="Heading 6_0"/>
    <w:basedOn w:val="Normal0"/>
    <w:next w:val="Normal0"/>
    <w:uiPriority w:val="9"/>
    <w:semiHidden/>
    <w:unhideWhenUsed/>
    <w:qFormat/>
    <w:pPr>
      <w:keepNext/>
      <w:keepLines/>
      <w:spacing w:before="200" w:after="40"/>
      <w:outlineLvl w:val="5"/>
    </w:pPr>
    <w:rPr>
      <w:b/>
      <w:sz w:val="20"/>
      <w:szCs w:val="20"/>
    </w:rPr>
  </w:style>
  <w:style w:type="table" w:customStyle="1" w:styleId="TableNormal00">
    <w:name w:val="Table Normal_0_0"/>
    <w:uiPriority w:val="99"/>
    <w:semiHidden/>
    <w:unhideWhenUsed/>
    <w:tblPr>
      <w:tblInd w:w="0" w:type="dxa"/>
      <w:tblCellMar>
        <w:top w:w="0" w:type="dxa"/>
        <w:left w:w="108" w:type="dxa"/>
        <w:bottom w:w="0" w:type="dxa"/>
        <w:right w:w="108" w:type="dxa"/>
      </w:tblCellMar>
    </w:tblPr>
  </w:style>
  <w:style w:type="table" w:customStyle="1" w:styleId="TableNormal10">
    <w:name w:val="Table Normal_1_0"/>
    <w:tblPr>
      <w:tblCellMar>
        <w:top w:w="0" w:type="dxa"/>
        <w:left w:w="0" w:type="dxa"/>
        <w:bottom w:w="0" w:type="dxa"/>
        <w:right w:w="0" w:type="dxa"/>
      </w:tblCellMar>
    </w:tblPr>
  </w:style>
  <w:style w:type="paragraph" w:customStyle="1" w:styleId="Title0">
    <w:name w:val="Title_0"/>
    <w:basedOn w:val="Normal0"/>
    <w:next w:val="Normal0"/>
    <w:uiPriority w:val="10"/>
    <w:qFormat/>
    <w:pPr>
      <w:keepNext/>
      <w:keepLines/>
      <w:spacing w:before="480" w:after="120"/>
    </w:pPr>
    <w:rPr>
      <w:b/>
      <w:sz w:val="72"/>
      <w:szCs w:val="72"/>
    </w:rPr>
  </w:style>
  <w:style w:type="table" w:customStyle="1" w:styleId="TableNormal2">
    <w:name w:val="Table Normal_2"/>
    <w:tblPr>
      <w:tblCellMar>
        <w:top w:w="0" w:type="dxa"/>
        <w:left w:w="0" w:type="dxa"/>
        <w:bottom w:w="0" w:type="dxa"/>
        <w:right w:w="0" w:type="dxa"/>
      </w:tblCellMar>
    </w:tblPr>
  </w:style>
  <w:style w:type="table" w:customStyle="1" w:styleId="TableNormal3">
    <w:name w:val="Table Normal_3"/>
    <w:tblPr>
      <w:tblCellMar>
        <w:top w:w="0" w:type="dxa"/>
        <w:left w:w="0" w:type="dxa"/>
        <w:bottom w:w="0" w:type="dxa"/>
        <w:right w:w="0" w:type="dxa"/>
      </w:tblCellMar>
    </w:tblPr>
  </w:style>
  <w:style w:type="paragraph" w:styleId="Header">
    <w:name w:val="header"/>
    <w:basedOn w:val="Normal0"/>
    <w:link w:val="CabealhoChar"/>
    <w:uiPriority w:val="99"/>
    <w:unhideWhenUsed/>
    <w:locked/>
    <w:rsid w:val="00626437"/>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DefaultParagraphFont"/>
    <w:link w:val="Header"/>
    <w:uiPriority w:val="99"/>
    <w:rsid w:val="00626437"/>
  </w:style>
  <w:style w:type="paragraph" w:styleId="Footer">
    <w:name w:val="footer"/>
    <w:basedOn w:val="Normal0"/>
    <w:link w:val="RodapChar"/>
    <w:uiPriority w:val="99"/>
    <w:unhideWhenUsed/>
    <w:locked/>
    <w:rsid w:val="00626437"/>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0"/>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0"/>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cpalertsection">
    <w:name w:val="ocpalertsection"/>
    <w:basedOn w:val="Normal0"/>
    <w:rsid w:val="006C41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0D4195"/>
    <w:rPr>
      <w:rFonts w:ascii="ArialMT" w:hAnsi="ArialMT" w:hint="default"/>
      <w:b w:val="0"/>
      <w:bCs w:val="0"/>
      <w:i w:val="0"/>
      <w:iCs w:val="0"/>
      <w:color w:val="000000"/>
      <w:sz w:val="20"/>
      <w:szCs w:val="20"/>
    </w:rPr>
  </w:style>
  <w:style w:type="paragraph" w:styleId="ListParagraph">
    <w:name w:val="List Paragraph"/>
    <w:basedOn w:val="Normal0"/>
    <w:uiPriority w:val="34"/>
    <w:qFormat/>
    <w:locked/>
    <w:rsid w:val="00F979AD"/>
    <w:pPr>
      <w:ind w:left="720"/>
      <w:contextualSpacing/>
    </w:p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Subtitle0">
    <w:name w:val="Subtitle_0"/>
    <w:basedOn w:val="Normal0"/>
    <w:next w:val="Normal0"/>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4.png"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2Jt0d9pQOhiEwui37KtrgsrXCQ==">CgMxLjAyDmguZjEwMnE1bHY4ZHNxMghoLmdqZGd4czIOaC5udmxzOXJpOG94MDQyDmguajgyOXNlMjhjdTA5MgloLjN6bnlzaDc4AHIhMTRsMWo4UDFKYVhkblFTWENidlYwSG1nWUJycUs2R05s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2013</Words>
  <Characters>10873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Gabinete 09 - Cezao da Farmacia</cp:lastModifiedBy>
  <cp:revision>3</cp:revision>
  <cp:lastPrinted>2025-02-24T13:11:00Z</cp:lastPrinted>
  <dcterms:created xsi:type="dcterms:W3CDTF">2026-09-29T15:13:00Z</dcterms:created>
  <dcterms:modified xsi:type="dcterms:W3CDTF">2026-09-29T16:48:00Z</dcterms:modified>
</cp:coreProperties>
</file>