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279/2026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a Política Municipal do Convívio Saudável Geracional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