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00000" w:rsidRPr="00000000" w:rsidP="00000000" w14:paraId="00000001">
      <w:pPr>
        <w:spacing w:line="240" w:lineRule="auto"/>
        <w:jc w:val="center"/>
        <w:rPr>
          <w:rFonts w:ascii="Arial" w:eastAsia="Arial" w:hAnsi="Arial" w:cs="Arial"/>
          <w:b/>
          <w:bCs/>
          <w:sz w:val="24"/>
          <w:szCs w:val="24"/>
        </w:rPr>
      </w:pPr>
      <w:r w:rsidRPr="00000000">
        <w:rPr>
          <w:rFonts w:ascii="Arial" w:eastAsia="Arial" w:hAnsi="Arial" w:cs="Arial"/>
          <w:b/>
          <w:bCs/>
          <w:sz w:val="24"/>
          <w:szCs w:val="24"/>
          <w:rtl w:val="0"/>
        </w:rPr>
        <w:t>PROJETO DE LEI Nº</w:t>
        <w:tab/>
        <w:tab/>
        <w:t>, DE 21 DE SETEMBRO DE 2026.</w:t>
      </w:r>
    </w:p>
    <w:p w:rsidR="00000000" w:rsidRPr="00000000" w:rsidP="00000000" w14:paraId="00000002">
      <w:pPr>
        <w:spacing w:line="240" w:lineRule="auto"/>
        <w:ind w:left="4678" w:firstLine="0"/>
        <w:jc w:val="both"/>
        <w:rPr>
          <w:rFonts w:ascii="Arial" w:eastAsia="Arial" w:hAnsi="Arial" w:cs="Arial"/>
          <w:b/>
          <w:bCs/>
          <w:sz w:val="24"/>
          <w:szCs w:val="24"/>
        </w:rPr>
      </w:pPr>
      <w:r w:rsidRPr="00000000">
        <w:rPr>
          <w:rFonts w:ascii="Arial" w:eastAsia="Arial" w:hAnsi="Arial" w:cs="Arial"/>
          <w:b/>
          <w:bCs/>
          <w:sz w:val="24"/>
          <w:szCs w:val="24"/>
          <w:rtl w:val="0"/>
        </w:rPr>
        <w:t>"Institui o Programa Municipal de Pontos de Leitura no Município de Sumaré e dá outras providências."</w:t>
      </w:r>
    </w:p>
    <w:p w:rsidR="00000000" w:rsidRPr="00000000" w:rsidP="00000000" w14:paraId="00000003">
      <w:pPr>
        <w:spacing w:after="0" w:line="240" w:lineRule="auto"/>
        <w:ind w:left="0" w:firstLine="0"/>
        <w:jc w:val="both"/>
        <w:rPr>
          <w:rFonts w:ascii="Arial" w:eastAsia="Arial" w:hAnsi="Arial" w:cs="Arial"/>
          <w:b/>
          <w:bCs/>
          <w:sz w:val="24"/>
          <w:szCs w:val="24"/>
        </w:rPr>
      </w:pPr>
    </w:p>
    <w:p w:rsidR="00000000" w:rsidRPr="00000000" w:rsidP="00000000" w14:paraId="00000004">
      <w:pPr>
        <w:spacing w:after="0" w:line="240" w:lineRule="auto"/>
        <w:ind w:left="4678" w:firstLine="0"/>
        <w:jc w:val="both"/>
        <w:rPr>
          <w:rFonts w:ascii="Arial" w:eastAsia="Arial" w:hAnsi="Arial" w:cs="Arial"/>
          <w:b/>
          <w:bCs/>
          <w:sz w:val="24"/>
          <w:szCs w:val="24"/>
        </w:rPr>
      </w:pPr>
      <w:r w:rsidRPr="00000000">
        <w:rPr>
          <w:rFonts w:ascii="Arial" w:eastAsia="Arial" w:hAnsi="Arial" w:cs="Arial"/>
          <w:b/>
          <w:bCs/>
          <w:sz w:val="24"/>
          <w:szCs w:val="24"/>
          <w:rtl w:val="0"/>
        </w:rPr>
        <w:t>Autoria: Vereador Dudu Lima.</w:t>
      </w:r>
    </w:p>
    <w:p w:rsidR="00000000" w:rsidRPr="00000000" w:rsidP="00000000" w14:paraId="00000005">
      <w:pPr>
        <w:spacing w:after="0" w:line="240" w:lineRule="auto"/>
        <w:jc w:val="both"/>
        <w:rPr>
          <w:rFonts w:ascii="Arial" w:eastAsia="Arial" w:hAnsi="Arial" w:cs="Arial"/>
          <w:b/>
          <w:bCs/>
          <w:sz w:val="24"/>
          <w:szCs w:val="24"/>
        </w:rPr>
      </w:pPr>
    </w:p>
    <w:p w:rsidR="00000000" w:rsidRPr="00000000" w:rsidP="00000000" w14:paraId="00000006">
      <w:pPr>
        <w:spacing w:line="240" w:lineRule="auto"/>
        <w:jc w:val="both"/>
        <w:rPr>
          <w:rFonts w:ascii="Arial" w:eastAsia="Arial" w:hAnsi="Arial" w:cs="Arial"/>
          <w:b/>
          <w:bCs/>
          <w:sz w:val="24"/>
          <w:szCs w:val="24"/>
        </w:rPr>
      </w:pPr>
      <w:r w:rsidRPr="00000000">
        <w:rPr>
          <w:rFonts w:ascii="Arial" w:eastAsia="Arial" w:hAnsi="Arial" w:cs="Arial"/>
          <w:b/>
          <w:bCs/>
          <w:sz w:val="24"/>
          <w:szCs w:val="24"/>
          <w:rtl w:val="0"/>
        </w:rPr>
        <w:tab/>
        <w:t xml:space="preserve">O EXMO. SR. PREFEITO MUNICIPAL DE SUMARÉ,                                                                                                                                                   </w:t>
      </w:r>
    </w:p>
    <w:p w:rsidR="00000000" w:rsidRPr="00000000" w:rsidP="00000000" w14:paraId="00000007">
      <w:pPr>
        <w:spacing w:line="240" w:lineRule="auto"/>
        <w:jc w:val="both"/>
        <w:rPr>
          <w:rFonts w:ascii="Arial" w:eastAsia="Arial" w:hAnsi="Arial" w:cs="Arial"/>
          <w:sz w:val="24"/>
          <w:szCs w:val="24"/>
        </w:rPr>
      </w:pPr>
      <w:r w:rsidRPr="00000000">
        <w:rPr>
          <w:rFonts w:ascii="Arial" w:eastAsia="Arial" w:hAnsi="Arial" w:cs="Arial"/>
          <w:sz w:val="24"/>
          <w:szCs w:val="24"/>
          <w:rtl w:val="0"/>
        </w:rPr>
        <w:tab/>
        <w:t>Faço saber que a Câmara Municipal aprovou e eu sanciono e promulgo a seguinte Lei:</w:t>
      </w:r>
    </w:p>
    <w:p w:rsidR="00000000" w:rsidRPr="00000000" w:rsidP="00000000" w14:paraId="00000008">
      <w:pPr>
        <w:spacing w:line="240" w:lineRule="auto"/>
        <w:jc w:val="both"/>
        <w:rPr>
          <w:rFonts w:ascii="Arial" w:eastAsia="Arial" w:hAnsi="Arial" w:cs="Arial"/>
          <w:sz w:val="24"/>
          <w:szCs w:val="24"/>
        </w:rPr>
      </w:pPr>
      <w:r w:rsidRPr="00000000">
        <w:rPr>
          <w:rFonts w:ascii="Arial" w:eastAsia="Arial" w:hAnsi="Arial" w:cs="Arial"/>
          <w:sz w:val="24"/>
          <w:szCs w:val="24"/>
          <w:rtl w:val="0"/>
        </w:rPr>
        <w:t>Art. 1º Fica instituído, no âmbito do Município de Sumaré, o Programa Municipal de Pontos de Leitura, destinado à criação, implantação, reconhecimento, apoio e integração de espaços públicos e comunitários voltados ao acesso gratuito ao livro, à leitura, à literatura e à formação de leitores.</w:t>
      </w:r>
    </w:p>
    <w:p w:rsidR="00000000" w:rsidRPr="00000000" w:rsidP="00000000" w14:paraId="00000009">
      <w:pPr>
        <w:spacing w:line="240" w:lineRule="auto"/>
        <w:jc w:val="both"/>
        <w:rPr>
          <w:rFonts w:ascii="Arial" w:eastAsia="Arial" w:hAnsi="Arial" w:cs="Arial"/>
          <w:sz w:val="24"/>
          <w:szCs w:val="24"/>
        </w:rPr>
      </w:pPr>
      <w:r w:rsidRPr="00000000">
        <w:rPr>
          <w:rFonts w:ascii="Arial" w:eastAsia="Arial" w:hAnsi="Arial" w:cs="Arial"/>
          <w:sz w:val="24"/>
          <w:szCs w:val="24"/>
          <w:rtl w:val="0"/>
        </w:rPr>
        <w:t>Parágrafo único. O Programa Municipal de Pontos de Leitura será desenvolvido de forma complementar à Rede Municipal de Bibliotecas Públicas, sem prejuízo das competências, atribuições e serviços próprios das bibliotecas públicas municipais.</w:t>
      </w:r>
    </w:p>
    <w:p w:rsidR="00000000" w:rsidRPr="00000000" w:rsidP="00000000" w14:paraId="0000000A">
      <w:pPr>
        <w:spacing w:line="240" w:lineRule="auto"/>
        <w:jc w:val="both"/>
        <w:rPr>
          <w:rFonts w:ascii="Arial" w:eastAsia="Arial" w:hAnsi="Arial" w:cs="Arial"/>
          <w:sz w:val="24"/>
          <w:szCs w:val="24"/>
        </w:rPr>
      </w:pPr>
      <w:r w:rsidRPr="00000000">
        <w:rPr>
          <w:rFonts w:ascii="Arial" w:eastAsia="Arial" w:hAnsi="Arial" w:cs="Arial"/>
          <w:sz w:val="24"/>
          <w:szCs w:val="24"/>
          <w:rtl w:val="0"/>
        </w:rPr>
        <w:t>Art. 2º Para os fins desta Lei, consideram-se Pontos de Leitura os espaços de acesso gratuito à leitura, instalados em equipamentos públicos, espaços comunitários ou instituições parceiras, destinados à disponibilização de livros e outros materiais de leitura e à realização de ações de incentivo à leitura.</w:t>
      </w:r>
    </w:p>
    <w:p w:rsidR="00000000" w:rsidRPr="00000000" w:rsidP="00000000" w14:paraId="0000000B">
      <w:pPr>
        <w:spacing w:line="240" w:lineRule="auto"/>
        <w:jc w:val="both"/>
        <w:rPr>
          <w:rFonts w:ascii="Arial" w:eastAsia="Arial" w:hAnsi="Arial" w:cs="Arial"/>
          <w:sz w:val="24"/>
          <w:szCs w:val="24"/>
        </w:rPr>
      </w:pPr>
      <w:r w:rsidRPr="00000000">
        <w:rPr>
          <w:rFonts w:ascii="Arial" w:eastAsia="Arial" w:hAnsi="Arial" w:cs="Arial"/>
          <w:sz w:val="24"/>
          <w:szCs w:val="24"/>
          <w:rtl w:val="0"/>
        </w:rPr>
        <w:t>§ 1º Os Pontos de Leitura poderão funcionar em espaços de pequeno porte e não dependerão da constituição de estrutura administrativa, física ou funcional própria de biblioteca pública.</w:t>
      </w:r>
    </w:p>
    <w:p w:rsidR="00000000" w:rsidRPr="00000000" w:rsidP="00000000" w14:paraId="0000000C">
      <w:pPr>
        <w:spacing w:line="240" w:lineRule="auto"/>
        <w:jc w:val="both"/>
        <w:rPr>
          <w:rFonts w:ascii="Arial" w:eastAsia="Arial" w:hAnsi="Arial" w:cs="Arial"/>
          <w:sz w:val="24"/>
          <w:szCs w:val="24"/>
        </w:rPr>
      </w:pPr>
      <w:r w:rsidRPr="00000000">
        <w:rPr>
          <w:rFonts w:ascii="Arial" w:eastAsia="Arial" w:hAnsi="Arial" w:cs="Arial"/>
          <w:sz w:val="24"/>
          <w:szCs w:val="24"/>
          <w:rtl w:val="0"/>
        </w:rPr>
        <w:t>§ 2º Os Pontos de Leitura poderão integrar equipamentos e espaços como:</w:t>
      </w:r>
    </w:p>
    <w:p w:rsidR="00000000" w:rsidRPr="00000000" w:rsidP="00000000" w14:paraId="0000000D">
      <w:pPr>
        <w:spacing w:line="240" w:lineRule="auto"/>
        <w:jc w:val="both"/>
        <w:rPr>
          <w:rFonts w:ascii="Arial" w:eastAsia="Arial" w:hAnsi="Arial" w:cs="Arial"/>
          <w:sz w:val="24"/>
          <w:szCs w:val="24"/>
        </w:rPr>
      </w:pPr>
      <w:r w:rsidRPr="00000000">
        <w:rPr>
          <w:rFonts w:ascii="Arial" w:eastAsia="Arial" w:hAnsi="Arial" w:cs="Arial"/>
          <w:sz w:val="24"/>
          <w:szCs w:val="24"/>
          <w:rtl w:val="0"/>
        </w:rPr>
        <w:t>I – centros culturais e comunitários;</w:t>
      </w:r>
    </w:p>
    <w:p w:rsidR="00000000" w:rsidRPr="00000000" w:rsidP="00000000" w14:paraId="0000000E">
      <w:pPr>
        <w:spacing w:line="240" w:lineRule="auto"/>
        <w:jc w:val="both"/>
        <w:rPr>
          <w:rFonts w:ascii="Arial" w:eastAsia="Arial" w:hAnsi="Arial" w:cs="Arial"/>
          <w:sz w:val="24"/>
          <w:szCs w:val="24"/>
        </w:rPr>
      </w:pPr>
      <w:r w:rsidRPr="00000000">
        <w:rPr>
          <w:rFonts w:ascii="Arial" w:eastAsia="Arial" w:hAnsi="Arial" w:cs="Arial"/>
          <w:sz w:val="24"/>
          <w:szCs w:val="24"/>
          <w:rtl w:val="0"/>
        </w:rPr>
        <w:t>II – escolas e demais espaços educacionais;</w:t>
      </w:r>
    </w:p>
    <w:p w:rsidR="00000000" w:rsidRPr="00000000" w:rsidP="00000000" w14:paraId="0000000F">
      <w:pPr>
        <w:spacing w:line="240" w:lineRule="auto"/>
        <w:jc w:val="both"/>
        <w:rPr>
          <w:rFonts w:ascii="Arial" w:eastAsia="Arial" w:hAnsi="Arial" w:cs="Arial"/>
          <w:sz w:val="24"/>
          <w:szCs w:val="24"/>
        </w:rPr>
      </w:pPr>
      <w:r w:rsidRPr="00000000">
        <w:rPr>
          <w:rFonts w:ascii="Arial" w:eastAsia="Arial" w:hAnsi="Arial" w:cs="Arial"/>
          <w:sz w:val="24"/>
          <w:szCs w:val="24"/>
          <w:rtl w:val="0"/>
        </w:rPr>
        <w:t>III – Centros de Referência de Assistência Social – CRAS e demais equipamentos da política de assistência social;</w:t>
      </w:r>
    </w:p>
    <w:p w:rsidR="00000000" w:rsidRPr="00000000" w:rsidP="00000000" w14:paraId="00000010">
      <w:pPr>
        <w:spacing w:line="240" w:lineRule="auto"/>
        <w:jc w:val="both"/>
        <w:rPr>
          <w:rFonts w:ascii="Arial" w:eastAsia="Arial" w:hAnsi="Arial" w:cs="Arial"/>
          <w:sz w:val="24"/>
          <w:szCs w:val="24"/>
        </w:rPr>
      </w:pPr>
      <w:r w:rsidRPr="00000000">
        <w:rPr>
          <w:rFonts w:ascii="Arial" w:eastAsia="Arial" w:hAnsi="Arial" w:cs="Arial"/>
          <w:sz w:val="24"/>
          <w:szCs w:val="24"/>
          <w:rtl w:val="0"/>
        </w:rPr>
        <w:t>IV – unidades e equipamentos públicos de saúde;</w:t>
      </w:r>
    </w:p>
    <w:p w:rsidR="00000000" w:rsidRPr="00000000" w:rsidP="00000000" w14:paraId="00000011">
      <w:pPr>
        <w:spacing w:line="240" w:lineRule="auto"/>
        <w:jc w:val="both"/>
        <w:rPr>
          <w:rFonts w:ascii="Arial" w:eastAsia="Arial" w:hAnsi="Arial" w:cs="Arial"/>
          <w:sz w:val="24"/>
          <w:szCs w:val="24"/>
        </w:rPr>
      </w:pPr>
      <w:r w:rsidRPr="00000000">
        <w:rPr>
          <w:rFonts w:ascii="Arial" w:eastAsia="Arial" w:hAnsi="Arial" w:cs="Arial"/>
          <w:sz w:val="24"/>
          <w:szCs w:val="24"/>
          <w:rtl w:val="0"/>
        </w:rPr>
        <w:t>V – praças, parques e demais espaços públicos;</w:t>
      </w:r>
    </w:p>
    <w:p w:rsidR="00000000" w:rsidRPr="00000000" w:rsidP="00000000" w14:paraId="00000012">
      <w:pPr>
        <w:spacing w:line="240" w:lineRule="auto"/>
        <w:jc w:val="both"/>
        <w:rPr>
          <w:rFonts w:ascii="Arial" w:eastAsia="Arial" w:hAnsi="Arial" w:cs="Arial"/>
          <w:sz w:val="24"/>
          <w:szCs w:val="24"/>
        </w:rPr>
      </w:pPr>
      <w:r w:rsidRPr="00000000">
        <w:rPr>
          <w:rFonts w:ascii="Arial" w:eastAsia="Arial" w:hAnsi="Arial" w:cs="Arial"/>
          <w:sz w:val="24"/>
          <w:szCs w:val="24"/>
          <w:rtl w:val="0"/>
        </w:rPr>
        <w:t>VI – equipamentos esportivos e de lazer;</w:t>
      </w:r>
    </w:p>
    <w:p w:rsidR="00000000" w:rsidRPr="00000000" w:rsidP="00000000" w14:paraId="00000013">
      <w:pPr>
        <w:spacing w:line="240" w:lineRule="auto"/>
        <w:jc w:val="both"/>
        <w:rPr>
          <w:rFonts w:ascii="Arial" w:eastAsia="Arial" w:hAnsi="Arial" w:cs="Arial"/>
          <w:sz w:val="24"/>
          <w:szCs w:val="24"/>
        </w:rPr>
      </w:pPr>
      <w:r w:rsidRPr="00000000">
        <w:rPr>
          <w:rFonts w:ascii="Arial" w:eastAsia="Arial" w:hAnsi="Arial" w:cs="Arial"/>
          <w:sz w:val="24"/>
          <w:szCs w:val="24"/>
          <w:rtl w:val="0"/>
        </w:rPr>
        <w:t>VII – terminais e demais equipamentos de mobilidade urbana;</w:t>
      </w:r>
    </w:p>
    <w:p w:rsidR="00000000" w:rsidRPr="00000000" w:rsidP="00000000" w14:paraId="00000014">
      <w:pPr>
        <w:spacing w:line="240" w:lineRule="auto"/>
        <w:jc w:val="both"/>
        <w:rPr>
          <w:rFonts w:ascii="Arial" w:eastAsia="Arial" w:hAnsi="Arial" w:cs="Arial"/>
          <w:sz w:val="24"/>
          <w:szCs w:val="24"/>
        </w:rPr>
      </w:pPr>
      <w:r w:rsidRPr="00000000">
        <w:rPr>
          <w:rFonts w:ascii="Arial" w:eastAsia="Arial" w:hAnsi="Arial" w:cs="Arial"/>
          <w:sz w:val="24"/>
          <w:szCs w:val="24"/>
          <w:rtl w:val="0"/>
        </w:rPr>
        <w:t>VIII – associações comunitárias, organizações da sociedade civil e entidades sem fins lucrativos;</w:t>
      </w:r>
    </w:p>
    <w:p w:rsidR="00000000" w:rsidRPr="00000000" w:rsidP="00000000" w14:paraId="00000015">
      <w:pPr>
        <w:spacing w:line="240" w:lineRule="auto"/>
        <w:jc w:val="both"/>
        <w:rPr>
          <w:rFonts w:ascii="Arial" w:eastAsia="Arial" w:hAnsi="Arial" w:cs="Arial"/>
          <w:sz w:val="24"/>
          <w:szCs w:val="24"/>
        </w:rPr>
      </w:pPr>
      <w:r w:rsidRPr="00000000">
        <w:rPr>
          <w:rFonts w:ascii="Arial" w:eastAsia="Arial" w:hAnsi="Arial" w:cs="Arial"/>
          <w:sz w:val="24"/>
          <w:szCs w:val="24"/>
          <w:rtl w:val="0"/>
        </w:rPr>
        <w:t>IX – espaços destinados ao atendimento de crianças, adolescentes, pessoas idosas e pessoas com deficiência;</w:t>
      </w:r>
    </w:p>
    <w:p w:rsidR="00000000" w:rsidRPr="00000000" w:rsidP="00000000" w14:paraId="00000016">
      <w:pPr>
        <w:spacing w:line="240" w:lineRule="auto"/>
        <w:jc w:val="both"/>
        <w:rPr>
          <w:rFonts w:ascii="Arial" w:eastAsia="Arial" w:hAnsi="Arial" w:cs="Arial"/>
          <w:sz w:val="24"/>
          <w:szCs w:val="24"/>
        </w:rPr>
      </w:pPr>
      <w:r w:rsidRPr="00000000">
        <w:rPr>
          <w:rFonts w:ascii="Arial" w:eastAsia="Arial" w:hAnsi="Arial" w:cs="Arial"/>
          <w:sz w:val="24"/>
          <w:szCs w:val="24"/>
          <w:rtl w:val="0"/>
        </w:rPr>
        <w:t>X – estabelecimentos privados de uso público ou de interesse comunitário, mediante parceria ou adesão ao Programa; e</w:t>
      </w:r>
    </w:p>
    <w:p w:rsidR="00000000" w:rsidRPr="00000000" w:rsidP="00000000" w14:paraId="00000017">
      <w:pPr>
        <w:spacing w:line="240" w:lineRule="auto"/>
        <w:jc w:val="both"/>
        <w:rPr>
          <w:rFonts w:ascii="Arial" w:eastAsia="Arial" w:hAnsi="Arial" w:cs="Arial"/>
          <w:sz w:val="24"/>
          <w:szCs w:val="24"/>
        </w:rPr>
      </w:pPr>
      <w:r w:rsidRPr="00000000">
        <w:rPr>
          <w:rFonts w:ascii="Arial" w:eastAsia="Arial" w:hAnsi="Arial" w:cs="Arial"/>
          <w:sz w:val="24"/>
          <w:szCs w:val="24"/>
          <w:rtl w:val="0"/>
        </w:rPr>
        <w:t>XI – outros espaços considerados adequados à finalidade do Programa.</w:t>
      </w:r>
    </w:p>
    <w:p w:rsidR="00000000" w:rsidRPr="00000000" w:rsidP="00000000" w14:paraId="00000018">
      <w:pPr>
        <w:spacing w:line="240" w:lineRule="auto"/>
        <w:jc w:val="both"/>
        <w:rPr>
          <w:rFonts w:ascii="Arial" w:eastAsia="Arial" w:hAnsi="Arial" w:cs="Arial"/>
          <w:sz w:val="24"/>
          <w:szCs w:val="24"/>
        </w:rPr>
      </w:pPr>
      <w:r w:rsidRPr="00000000">
        <w:rPr>
          <w:rFonts w:ascii="Arial" w:eastAsia="Arial" w:hAnsi="Arial" w:cs="Arial"/>
          <w:sz w:val="24"/>
          <w:szCs w:val="24"/>
          <w:rtl w:val="0"/>
        </w:rPr>
        <w:t>Art. 3º São objetivos do Programa Municipal de Pontos de Leitura:</w:t>
      </w:r>
    </w:p>
    <w:p w:rsidR="00000000" w:rsidRPr="00000000" w:rsidP="00000000" w14:paraId="00000019">
      <w:pPr>
        <w:spacing w:line="240" w:lineRule="auto"/>
        <w:jc w:val="both"/>
        <w:rPr>
          <w:rFonts w:ascii="Arial" w:eastAsia="Arial" w:hAnsi="Arial" w:cs="Arial"/>
          <w:sz w:val="24"/>
          <w:szCs w:val="24"/>
        </w:rPr>
      </w:pPr>
      <w:r w:rsidRPr="00000000">
        <w:rPr>
          <w:rFonts w:ascii="Arial" w:eastAsia="Arial" w:hAnsi="Arial" w:cs="Arial"/>
          <w:sz w:val="24"/>
          <w:szCs w:val="24"/>
          <w:rtl w:val="0"/>
        </w:rPr>
        <w:t>I – ampliar e descentralizar o acesso gratuito aos livros, à leitura e à literatura no território municipal;</w:t>
      </w:r>
    </w:p>
    <w:p w:rsidR="00000000" w:rsidRPr="00000000" w:rsidP="00000000" w14:paraId="0000001A">
      <w:pPr>
        <w:spacing w:line="240" w:lineRule="auto"/>
        <w:jc w:val="both"/>
        <w:rPr>
          <w:rFonts w:ascii="Arial" w:eastAsia="Arial" w:hAnsi="Arial" w:cs="Arial"/>
          <w:sz w:val="24"/>
          <w:szCs w:val="24"/>
        </w:rPr>
      </w:pPr>
      <w:r w:rsidRPr="00000000">
        <w:rPr>
          <w:rFonts w:ascii="Arial" w:eastAsia="Arial" w:hAnsi="Arial" w:cs="Arial"/>
          <w:sz w:val="24"/>
          <w:szCs w:val="24"/>
          <w:rtl w:val="0"/>
        </w:rPr>
        <w:t>II – aproximar os livros e demais materiais de leitura dos locais de convivência cotidiana da população;</w:t>
      </w:r>
    </w:p>
    <w:p w:rsidR="00000000" w:rsidRPr="00000000" w:rsidP="00000000" w14:paraId="0000001B">
      <w:pPr>
        <w:spacing w:line="240" w:lineRule="auto"/>
        <w:jc w:val="both"/>
        <w:rPr>
          <w:rFonts w:ascii="Arial" w:eastAsia="Arial" w:hAnsi="Arial" w:cs="Arial"/>
          <w:sz w:val="24"/>
          <w:szCs w:val="24"/>
        </w:rPr>
      </w:pPr>
      <w:r w:rsidRPr="00000000">
        <w:rPr>
          <w:rFonts w:ascii="Arial" w:eastAsia="Arial" w:hAnsi="Arial" w:cs="Arial"/>
          <w:sz w:val="24"/>
          <w:szCs w:val="24"/>
          <w:rtl w:val="0"/>
        </w:rPr>
        <w:t>III – estimular a formação de novos leitores e o fortalecimento dos hábitos de leitura;</w:t>
      </w:r>
    </w:p>
    <w:p w:rsidR="00000000" w:rsidRPr="00000000" w:rsidP="00000000" w14:paraId="0000001C">
      <w:pPr>
        <w:spacing w:line="240" w:lineRule="auto"/>
        <w:jc w:val="both"/>
        <w:rPr>
          <w:rFonts w:ascii="Arial" w:eastAsia="Arial" w:hAnsi="Arial" w:cs="Arial"/>
          <w:sz w:val="24"/>
          <w:szCs w:val="24"/>
        </w:rPr>
      </w:pPr>
      <w:r w:rsidRPr="00000000">
        <w:rPr>
          <w:rFonts w:ascii="Arial" w:eastAsia="Arial" w:hAnsi="Arial" w:cs="Arial"/>
          <w:sz w:val="24"/>
          <w:szCs w:val="24"/>
          <w:rtl w:val="0"/>
        </w:rPr>
        <w:t>IV – promover a democratização do acesso à informação, à cultura e ao conhecimento;</w:t>
      </w:r>
    </w:p>
    <w:p w:rsidR="00000000" w:rsidRPr="00000000" w:rsidP="00000000" w14:paraId="0000001D">
      <w:pPr>
        <w:spacing w:line="240" w:lineRule="auto"/>
        <w:jc w:val="both"/>
        <w:rPr>
          <w:rFonts w:ascii="Arial" w:eastAsia="Arial" w:hAnsi="Arial" w:cs="Arial"/>
          <w:sz w:val="24"/>
          <w:szCs w:val="24"/>
        </w:rPr>
      </w:pPr>
      <w:r w:rsidRPr="00000000">
        <w:rPr>
          <w:rFonts w:ascii="Arial" w:eastAsia="Arial" w:hAnsi="Arial" w:cs="Arial"/>
          <w:sz w:val="24"/>
          <w:szCs w:val="24"/>
          <w:rtl w:val="0"/>
        </w:rPr>
        <w:t>V – ampliar a presença das políticas públicas de leitura nos bairros e territórios do Município;</w:t>
      </w:r>
    </w:p>
    <w:p w:rsidR="00000000" w:rsidRPr="00000000" w:rsidP="00000000" w14:paraId="0000001E">
      <w:pPr>
        <w:spacing w:line="240" w:lineRule="auto"/>
        <w:jc w:val="both"/>
        <w:rPr>
          <w:rFonts w:ascii="Arial" w:eastAsia="Arial" w:hAnsi="Arial" w:cs="Arial"/>
          <w:sz w:val="24"/>
          <w:szCs w:val="24"/>
        </w:rPr>
      </w:pPr>
      <w:r w:rsidRPr="00000000">
        <w:rPr>
          <w:rFonts w:ascii="Arial" w:eastAsia="Arial" w:hAnsi="Arial" w:cs="Arial"/>
          <w:sz w:val="24"/>
          <w:szCs w:val="24"/>
          <w:rtl w:val="0"/>
        </w:rPr>
        <w:t>VI – apoiar iniciativas comunitárias de promoção do livro e da leitura;</w:t>
      </w:r>
    </w:p>
    <w:p w:rsidR="00000000" w:rsidRPr="00000000" w:rsidP="00000000" w14:paraId="0000001F">
      <w:pPr>
        <w:spacing w:line="240" w:lineRule="auto"/>
        <w:jc w:val="both"/>
        <w:rPr>
          <w:rFonts w:ascii="Arial" w:eastAsia="Arial" w:hAnsi="Arial" w:cs="Arial"/>
          <w:sz w:val="24"/>
          <w:szCs w:val="24"/>
        </w:rPr>
      </w:pPr>
      <w:r w:rsidRPr="00000000">
        <w:rPr>
          <w:rFonts w:ascii="Arial" w:eastAsia="Arial" w:hAnsi="Arial" w:cs="Arial"/>
          <w:sz w:val="24"/>
          <w:szCs w:val="24"/>
          <w:rtl w:val="0"/>
        </w:rPr>
        <w:t>VII – incentivar a participação da sociedade civil na promoção da leitura;</w:t>
      </w:r>
    </w:p>
    <w:p w:rsidR="00000000" w:rsidRPr="00000000" w:rsidP="00000000" w14:paraId="00000020">
      <w:pPr>
        <w:spacing w:line="240" w:lineRule="auto"/>
        <w:jc w:val="both"/>
        <w:rPr>
          <w:rFonts w:ascii="Arial" w:eastAsia="Arial" w:hAnsi="Arial" w:cs="Arial"/>
          <w:sz w:val="24"/>
          <w:szCs w:val="24"/>
        </w:rPr>
      </w:pPr>
      <w:r w:rsidRPr="00000000">
        <w:rPr>
          <w:rFonts w:ascii="Arial" w:eastAsia="Arial" w:hAnsi="Arial" w:cs="Arial"/>
          <w:sz w:val="24"/>
          <w:szCs w:val="24"/>
          <w:rtl w:val="0"/>
        </w:rPr>
        <w:t>VIII – fortalecer a articulação entre bibliotecas públicas, equipamentos culturais, educacionais, sociais e comunitários;</w:t>
      </w:r>
    </w:p>
    <w:p w:rsidR="00000000" w:rsidRPr="00000000" w:rsidP="00000000" w14:paraId="00000021">
      <w:pPr>
        <w:spacing w:line="240" w:lineRule="auto"/>
        <w:jc w:val="both"/>
        <w:rPr>
          <w:rFonts w:ascii="Arial" w:eastAsia="Arial" w:hAnsi="Arial" w:cs="Arial"/>
          <w:sz w:val="24"/>
          <w:szCs w:val="24"/>
        </w:rPr>
      </w:pPr>
      <w:r w:rsidRPr="00000000">
        <w:rPr>
          <w:rFonts w:ascii="Arial" w:eastAsia="Arial" w:hAnsi="Arial" w:cs="Arial"/>
          <w:sz w:val="24"/>
          <w:szCs w:val="24"/>
          <w:rtl w:val="0"/>
        </w:rPr>
        <w:t>IX – promover ações de leitura em territórios com menor oferta de equipamentos culturais;</w:t>
      </w:r>
    </w:p>
    <w:p w:rsidR="00000000" w:rsidRPr="00000000" w:rsidP="00000000" w14:paraId="00000022">
      <w:pPr>
        <w:spacing w:line="240" w:lineRule="auto"/>
        <w:jc w:val="both"/>
        <w:rPr>
          <w:rFonts w:ascii="Arial" w:eastAsia="Arial" w:hAnsi="Arial" w:cs="Arial"/>
          <w:sz w:val="24"/>
          <w:szCs w:val="24"/>
        </w:rPr>
      </w:pPr>
      <w:r w:rsidRPr="00000000">
        <w:rPr>
          <w:rFonts w:ascii="Arial" w:eastAsia="Arial" w:hAnsi="Arial" w:cs="Arial"/>
          <w:sz w:val="24"/>
          <w:szCs w:val="24"/>
          <w:rtl w:val="0"/>
        </w:rPr>
        <w:t>X – estimular a circulação, o compartilhamento, a troca e a formação de acervos comunitários;</w:t>
      </w:r>
    </w:p>
    <w:p w:rsidR="00000000" w:rsidRPr="00000000" w:rsidP="00000000" w14:paraId="00000023">
      <w:pPr>
        <w:spacing w:line="240" w:lineRule="auto"/>
        <w:jc w:val="both"/>
        <w:rPr>
          <w:rFonts w:ascii="Arial" w:eastAsia="Arial" w:hAnsi="Arial" w:cs="Arial"/>
          <w:sz w:val="24"/>
          <w:szCs w:val="24"/>
        </w:rPr>
      </w:pPr>
      <w:r w:rsidRPr="00000000">
        <w:rPr>
          <w:rFonts w:ascii="Arial" w:eastAsia="Arial" w:hAnsi="Arial" w:cs="Arial"/>
          <w:sz w:val="24"/>
          <w:szCs w:val="24"/>
          <w:rtl w:val="0"/>
        </w:rPr>
        <w:t>XI – fomentar atividades de mediação de leitura, contação de histórias, clubes de leitura, rodas de conversa e outras práticas de formação de leitores; e</w:t>
      </w:r>
    </w:p>
    <w:p w:rsidR="00000000" w:rsidRPr="00000000" w:rsidP="00000000" w14:paraId="00000024">
      <w:pPr>
        <w:spacing w:line="240" w:lineRule="auto"/>
        <w:jc w:val="both"/>
        <w:rPr>
          <w:rFonts w:ascii="Arial" w:eastAsia="Arial" w:hAnsi="Arial" w:cs="Arial"/>
          <w:sz w:val="24"/>
          <w:szCs w:val="24"/>
        </w:rPr>
      </w:pPr>
      <w:r w:rsidRPr="00000000">
        <w:rPr>
          <w:rFonts w:ascii="Arial" w:eastAsia="Arial" w:hAnsi="Arial" w:cs="Arial"/>
          <w:sz w:val="24"/>
          <w:szCs w:val="24"/>
          <w:rtl w:val="0"/>
        </w:rPr>
        <w:t>XII – contribuir para a construção de uma política municipal de leitura territorializada, inclusiva e acessível.</w:t>
      </w:r>
    </w:p>
    <w:p w:rsidR="00000000" w:rsidRPr="00000000" w:rsidP="00000000" w14:paraId="00000025">
      <w:pPr>
        <w:spacing w:line="240" w:lineRule="auto"/>
        <w:jc w:val="both"/>
        <w:rPr>
          <w:rFonts w:ascii="Arial" w:eastAsia="Arial" w:hAnsi="Arial" w:cs="Arial"/>
          <w:sz w:val="24"/>
          <w:szCs w:val="24"/>
        </w:rPr>
      </w:pPr>
      <w:r w:rsidRPr="00000000">
        <w:rPr>
          <w:rFonts w:ascii="Arial" w:eastAsia="Arial" w:hAnsi="Arial" w:cs="Arial"/>
          <w:sz w:val="24"/>
          <w:szCs w:val="24"/>
          <w:rtl w:val="0"/>
        </w:rPr>
        <w:t>Art. 4º São princípios do Programa Municipal de Pontos de Leitura:</w:t>
      </w:r>
    </w:p>
    <w:p w:rsidR="00000000" w:rsidRPr="00000000" w:rsidP="00000000" w14:paraId="00000026">
      <w:pPr>
        <w:spacing w:line="240" w:lineRule="auto"/>
        <w:jc w:val="both"/>
        <w:rPr>
          <w:rFonts w:ascii="Arial" w:eastAsia="Arial" w:hAnsi="Arial" w:cs="Arial"/>
          <w:sz w:val="24"/>
          <w:szCs w:val="24"/>
        </w:rPr>
      </w:pPr>
      <w:r w:rsidRPr="00000000">
        <w:rPr>
          <w:rFonts w:ascii="Arial" w:eastAsia="Arial" w:hAnsi="Arial" w:cs="Arial"/>
          <w:sz w:val="24"/>
          <w:szCs w:val="24"/>
          <w:rtl w:val="0"/>
        </w:rPr>
        <w:t>I – universalização e democratização do acesso à leitura;</w:t>
      </w:r>
    </w:p>
    <w:p w:rsidR="00000000" w:rsidRPr="00000000" w:rsidP="00000000" w14:paraId="00000027">
      <w:pPr>
        <w:spacing w:line="240" w:lineRule="auto"/>
        <w:jc w:val="both"/>
        <w:rPr>
          <w:rFonts w:ascii="Arial" w:eastAsia="Arial" w:hAnsi="Arial" w:cs="Arial"/>
          <w:sz w:val="24"/>
          <w:szCs w:val="24"/>
        </w:rPr>
      </w:pPr>
      <w:r w:rsidRPr="00000000">
        <w:rPr>
          <w:rFonts w:ascii="Arial" w:eastAsia="Arial" w:hAnsi="Arial" w:cs="Arial"/>
          <w:sz w:val="24"/>
          <w:szCs w:val="24"/>
          <w:rtl w:val="0"/>
        </w:rPr>
        <w:t>II – gratuidade do acesso aos serviços e atividades promovidos pelos Pontos de Leitura;</w:t>
      </w:r>
    </w:p>
    <w:p w:rsidR="00000000" w:rsidRPr="00000000" w:rsidP="00000000" w14:paraId="00000028">
      <w:pPr>
        <w:spacing w:line="240" w:lineRule="auto"/>
        <w:jc w:val="both"/>
        <w:rPr>
          <w:rFonts w:ascii="Arial" w:eastAsia="Arial" w:hAnsi="Arial" w:cs="Arial"/>
          <w:sz w:val="24"/>
          <w:szCs w:val="24"/>
        </w:rPr>
      </w:pPr>
      <w:r w:rsidRPr="00000000">
        <w:rPr>
          <w:rFonts w:ascii="Arial" w:eastAsia="Arial" w:hAnsi="Arial" w:cs="Arial"/>
          <w:sz w:val="24"/>
          <w:szCs w:val="24"/>
          <w:rtl w:val="0"/>
        </w:rPr>
        <w:t>III – diversidade cultural, literária e informacional;</w:t>
      </w:r>
    </w:p>
    <w:p w:rsidR="00000000" w:rsidRPr="00000000" w:rsidP="00000000" w14:paraId="00000029">
      <w:pPr>
        <w:spacing w:line="240" w:lineRule="auto"/>
        <w:jc w:val="both"/>
        <w:rPr>
          <w:rFonts w:ascii="Arial" w:eastAsia="Arial" w:hAnsi="Arial" w:cs="Arial"/>
          <w:sz w:val="24"/>
          <w:szCs w:val="24"/>
        </w:rPr>
      </w:pPr>
      <w:r w:rsidRPr="00000000">
        <w:rPr>
          <w:rFonts w:ascii="Arial" w:eastAsia="Arial" w:hAnsi="Arial" w:cs="Arial"/>
          <w:sz w:val="24"/>
          <w:szCs w:val="24"/>
          <w:rtl w:val="0"/>
        </w:rPr>
        <w:t>IV – respeito à pluralidade de ideias, identidades, culturas e formas de expressão;</w:t>
      </w:r>
    </w:p>
    <w:p w:rsidR="00000000" w:rsidRPr="00000000" w:rsidP="00000000" w14:paraId="0000002A">
      <w:pPr>
        <w:spacing w:line="240" w:lineRule="auto"/>
        <w:jc w:val="both"/>
        <w:rPr>
          <w:rFonts w:ascii="Arial" w:eastAsia="Arial" w:hAnsi="Arial" w:cs="Arial"/>
          <w:sz w:val="24"/>
          <w:szCs w:val="24"/>
        </w:rPr>
      </w:pPr>
      <w:r w:rsidRPr="00000000">
        <w:rPr>
          <w:rFonts w:ascii="Arial" w:eastAsia="Arial" w:hAnsi="Arial" w:cs="Arial"/>
          <w:sz w:val="24"/>
          <w:szCs w:val="24"/>
          <w:rtl w:val="0"/>
        </w:rPr>
        <w:t>V – acessibilidade e inclusão;</w:t>
      </w:r>
    </w:p>
    <w:p w:rsidR="00000000" w:rsidRPr="00000000" w:rsidP="00000000" w14:paraId="0000002B">
      <w:pPr>
        <w:spacing w:line="240" w:lineRule="auto"/>
        <w:jc w:val="both"/>
        <w:rPr>
          <w:rFonts w:ascii="Arial" w:eastAsia="Arial" w:hAnsi="Arial" w:cs="Arial"/>
          <w:sz w:val="24"/>
          <w:szCs w:val="24"/>
        </w:rPr>
      </w:pPr>
      <w:r w:rsidRPr="00000000">
        <w:rPr>
          <w:rFonts w:ascii="Arial" w:eastAsia="Arial" w:hAnsi="Arial" w:cs="Arial"/>
          <w:sz w:val="24"/>
          <w:szCs w:val="24"/>
          <w:rtl w:val="0"/>
        </w:rPr>
        <w:t>VI – participação comunitária;</w:t>
      </w:r>
    </w:p>
    <w:p w:rsidR="00000000" w:rsidRPr="00000000" w:rsidP="00000000" w14:paraId="0000002C">
      <w:pPr>
        <w:spacing w:line="240" w:lineRule="auto"/>
        <w:jc w:val="both"/>
        <w:rPr>
          <w:rFonts w:ascii="Arial" w:eastAsia="Arial" w:hAnsi="Arial" w:cs="Arial"/>
          <w:sz w:val="24"/>
          <w:szCs w:val="24"/>
        </w:rPr>
      </w:pPr>
      <w:r w:rsidRPr="00000000">
        <w:rPr>
          <w:rFonts w:ascii="Arial" w:eastAsia="Arial" w:hAnsi="Arial" w:cs="Arial"/>
          <w:sz w:val="24"/>
          <w:szCs w:val="24"/>
          <w:rtl w:val="0"/>
        </w:rPr>
        <w:t>VII – descentralização territorial das políticas públicas de leitura;</w:t>
      </w:r>
    </w:p>
    <w:p w:rsidR="00000000" w:rsidRPr="00000000" w:rsidP="00000000" w14:paraId="0000002D">
      <w:pPr>
        <w:spacing w:line="240" w:lineRule="auto"/>
        <w:jc w:val="both"/>
        <w:rPr>
          <w:rFonts w:ascii="Arial" w:eastAsia="Arial" w:hAnsi="Arial" w:cs="Arial"/>
          <w:sz w:val="24"/>
          <w:szCs w:val="24"/>
        </w:rPr>
      </w:pPr>
      <w:r w:rsidRPr="00000000">
        <w:rPr>
          <w:rFonts w:ascii="Arial" w:eastAsia="Arial" w:hAnsi="Arial" w:cs="Arial"/>
          <w:sz w:val="24"/>
          <w:szCs w:val="24"/>
          <w:rtl w:val="0"/>
        </w:rPr>
        <w:t>VIII – valorização da literatura e da produção cultural local;</w:t>
      </w:r>
    </w:p>
    <w:p w:rsidR="00000000" w:rsidRPr="00000000" w:rsidP="00000000" w14:paraId="0000002E">
      <w:pPr>
        <w:spacing w:line="240" w:lineRule="auto"/>
        <w:jc w:val="both"/>
        <w:rPr>
          <w:rFonts w:ascii="Arial" w:eastAsia="Arial" w:hAnsi="Arial" w:cs="Arial"/>
          <w:sz w:val="24"/>
          <w:szCs w:val="24"/>
        </w:rPr>
      </w:pPr>
      <w:r w:rsidRPr="00000000">
        <w:rPr>
          <w:rFonts w:ascii="Arial" w:eastAsia="Arial" w:hAnsi="Arial" w:cs="Arial"/>
          <w:sz w:val="24"/>
          <w:szCs w:val="24"/>
          <w:rtl w:val="0"/>
        </w:rPr>
        <w:t>IX – cooperação entre Poder Público e sociedade civil; e</w:t>
      </w:r>
    </w:p>
    <w:p w:rsidR="00000000" w:rsidRPr="00000000" w:rsidP="00000000" w14:paraId="0000002F">
      <w:pPr>
        <w:spacing w:line="240" w:lineRule="auto"/>
        <w:jc w:val="both"/>
        <w:rPr>
          <w:rFonts w:ascii="Arial" w:eastAsia="Arial" w:hAnsi="Arial" w:cs="Arial"/>
          <w:sz w:val="24"/>
          <w:szCs w:val="24"/>
        </w:rPr>
      </w:pPr>
      <w:r w:rsidRPr="00000000">
        <w:rPr>
          <w:rFonts w:ascii="Arial" w:eastAsia="Arial" w:hAnsi="Arial" w:cs="Arial"/>
          <w:sz w:val="24"/>
          <w:szCs w:val="24"/>
          <w:rtl w:val="0"/>
        </w:rPr>
        <w:t>X – integração com as demais políticas públicas municipais de cultura, educação, assistência social, saúde, juventude, infância, envelhecimento, inclusão e desenvolvimento comunitário.</w:t>
      </w:r>
    </w:p>
    <w:p w:rsidR="00000000" w:rsidRPr="00000000" w:rsidP="00000000" w14:paraId="00000030">
      <w:pPr>
        <w:spacing w:line="240" w:lineRule="auto"/>
        <w:jc w:val="both"/>
        <w:rPr>
          <w:rFonts w:ascii="Arial" w:eastAsia="Arial" w:hAnsi="Arial" w:cs="Arial"/>
          <w:sz w:val="24"/>
          <w:szCs w:val="24"/>
        </w:rPr>
      </w:pPr>
      <w:r w:rsidRPr="00000000">
        <w:rPr>
          <w:rFonts w:ascii="Arial" w:eastAsia="Arial" w:hAnsi="Arial" w:cs="Arial"/>
          <w:sz w:val="24"/>
          <w:szCs w:val="24"/>
          <w:rtl w:val="0"/>
        </w:rPr>
        <w:t>Art. 5º Os Pontos de Leitura poderão disponibilizar, conforme as características e possibilidades de cada espaço:</w:t>
      </w:r>
    </w:p>
    <w:p w:rsidR="00000000" w:rsidRPr="00000000" w:rsidP="00000000" w14:paraId="00000031">
      <w:pPr>
        <w:spacing w:line="240" w:lineRule="auto"/>
        <w:jc w:val="both"/>
        <w:rPr>
          <w:rFonts w:ascii="Arial" w:eastAsia="Arial" w:hAnsi="Arial" w:cs="Arial"/>
          <w:sz w:val="24"/>
          <w:szCs w:val="24"/>
        </w:rPr>
      </w:pPr>
      <w:r w:rsidRPr="00000000">
        <w:rPr>
          <w:rFonts w:ascii="Arial" w:eastAsia="Arial" w:hAnsi="Arial" w:cs="Arial"/>
          <w:sz w:val="24"/>
          <w:szCs w:val="24"/>
          <w:rtl w:val="0"/>
        </w:rPr>
        <w:t>I – livros de literatura infantil, juvenil e adulta;</w:t>
      </w:r>
    </w:p>
    <w:p w:rsidR="00000000" w:rsidRPr="00000000" w:rsidP="00000000" w14:paraId="00000032">
      <w:pPr>
        <w:spacing w:line="240" w:lineRule="auto"/>
        <w:jc w:val="both"/>
        <w:rPr>
          <w:rFonts w:ascii="Arial" w:eastAsia="Arial" w:hAnsi="Arial" w:cs="Arial"/>
          <w:sz w:val="24"/>
          <w:szCs w:val="24"/>
        </w:rPr>
      </w:pPr>
      <w:r w:rsidRPr="00000000">
        <w:rPr>
          <w:rFonts w:ascii="Arial" w:eastAsia="Arial" w:hAnsi="Arial" w:cs="Arial"/>
          <w:sz w:val="24"/>
          <w:szCs w:val="24"/>
          <w:rtl w:val="0"/>
        </w:rPr>
        <w:t>II – obras de autores locais e regionais;</w:t>
      </w:r>
    </w:p>
    <w:p w:rsidR="00000000" w:rsidRPr="00000000" w:rsidP="00000000" w14:paraId="00000033">
      <w:pPr>
        <w:spacing w:line="240" w:lineRule="auto"/>
        <w:jc w:val="both"/>
        <w:rPr>
          <w:rFonts w:ascii="Arial" w:eastAsia="Arial" w:hAnsi="Arial" w:cs="Arial"/>
          <w:sz w:val="24"/>
          <w:szCs w:val="24"/>
        </w:rPr>
      </w:pPr>
      <w:r w:rsidRPr="00000000">
        <w:rPr>
          <w:rFonts w:ascii="Arial" w:eastAsia="Arial" w:hAnsi="Arial" w:cs="Arial"/>
          <w:sz w:val="24"/>
          <w:szCs w:val="24"/>
          <w:rtl w:val="0"/>
        </w:rPr>
        <w:t>III – livros informativos, educativos e de divulgação científica;</w:t>
      </w:r>
    </w:p>
    <w:p w:rsidR="00000000" w:rsidRPr="00000000" w:rsidP="00000000" w14:paraId="00000034">
      <w:pPr>
        <w:spacing w:line="240" w:lineRule="auto"/>
        <w:jc w:val="both"/>
        <w:rPr>
          <w:rFonts w:ascii="Arial" w:eastAsia="Arial" w:hAnsi="Arial" w:cs="Arial"/>
          <w:sz w:val="24"/>
          <w:szCs w:val="24"/>
        </w:rPr>
      </w:pPr>
      <w:r w:rsidRPr="00000000">
        <w:rPr>
          <w:rFonts w:ascii="Arial" w:eastAsia="Arial" w:hAnsi="Arial" w:cs="Arial"/>
          <w:sz w:val="24"/>
          <w:szCs w:val="24"/>
          <w:rtl w:val="0"/>
        </w:rPr>
        <w:t>IV – histórias em quadrinhos, mangás e outros formatos de literatura;</w:t>
      </w:r>
    </w:p>
    <w:p w:rsidR="00000000" w:rsidRPr="00000000" w:rsidP="00000000" w14:paraId="00000035">
      <w:pPr>
        <w:spacing w:line="240" w:lineRule="auto"/>
        <w:jc w:val="both"/>
        <w:rPr>
          <w:rFonts w:ascii="Arial" w:eastAsia="Arial" w:hAnsi="Arial" w:cs="Arial"/>
          <w:sz w:val="24"/>
          <w:szCs w:val="24"/>
        </w:rPr>
      </w:pPr>
      <w:r w:rsidRPr="00000000">
        <w:rPr>
          <w:rFonts w:ascii="Arial" w:eastAsia="Arial" w:hAnsi="Arial" w:cs="Arial"/>
          <w:sz w:val="24"/>
          <w:szCs w:val="24"/>
          <w:rtl w:val="0"/>
        </w:rPr>
        <w:t>V – revistas, periódicos e publicações culturais;</w:t>
      </w:r>
    </w:p>
    <w:p w:rsidR="00000000" w:rsidRPr="00000000" w:rsidP="00000000" w14:paraId="00000036">
      <w:pPr>
        <w:spacing w:line="240" w:lineRule="auto"/>
        <w:jc w:val="both"/>
        <w:rPr>
          <w:rFonts w:ascii="Arial" w:eastAsia="Arial" w:hAnsi="Arial" w:cs="Arial"/>
          <w:sz w:val="24"/>
          <w:szCs w:val="24"/>
        </w:rPr>
      </w:pPr>
      <w:r w:rsidRPr="00000000">
        <w:rPr>
          <w:rFonts w:ascii="Arial" w:eastAsia="Arial" w:hAnsi="Arial" w:cs="Arial"/>
          <w:sz w:val="24"/>
          <w:szCs w:val="24"/>
          <w:rtl w:val="0"/>
        </w:rPr>
        <w:t>VI – materiais de leitura acessível, em formatos compatíveis com as necessidades dos usuários;</w:t>
      </w:r>
    </w:p>
    <w:p w:rsidR="00000000" w:rsidRPr="00000000" w:rsidP="00000000" w14:paraId="00000037">
      <w:pPr>
        <w:spacing w:line="240" w:lineRule="auto"/>
        <w:jc w:val="both"/>
        <w:rPr>
          <w:rFonts w:ascii="Arial" w:eastAsia="Arial" w:hAnsi="Arial" w:cs="Arial"/>
          <w:sz w:val="24"/>
          <w:szCs w:val="24"/>
        </w:rPr>
      </w:pPr>
      <w:r w:rsidRPr="00000000">
        <w:rPr>
          <w:rFonts w:ascii="Arial" w:eastAsia="Arial" w:hAnsi="Arial" w:cs="Arial"/>
          <w:sz w:val="24"/>
          <w:szCs w:val="24"/>
          <w:rtl w:val="0"/>
        </w:rPr>
        <w:t>VII – materiais produzidos ou adquiridos pelo Poder Público;</w:t>
      </w:r>
    </w:p>
    <w:p w:rsidR="00000000" w:rsidRPr="00000000" w:rsidP="00000000" w14:paraId="00000038">
      <w:pPr>
        <w:spacing w:line="240" w:lineRule="auto"/>
        <w:jc w:val="both"/>
        <w:rPr>
          <w:rFonts w:ascii="Arial" w:eastAsia="Arial" w:hAnsi="Arial" w:cs="Arial"/>
          <w:sz w:val="24"/>
          <w:szCs w:val="24"/>
        </w:rPr>
      </w:pPr>
      <w:r w:rsidRPr="00000000">
        <w:rPr>
          <w:rFonts w:ascii="Arial" w:eastAsia="Arial" w:hAnsi="Arial" w:cs="Arial"/>
          <w:sz w:val="24"/>
          <w:szCs w:val="24"/>
          <w:rtl w:val="0"/>
        </w:rPr>
        <w:t>VIII – materiais provenientes de doações, intercâmbios, campanhas de arrecadação e parcerias; e</w:t>
      </w:r>
    </w:p>
    <w:p w:rsidR="00000000" w:rsidRPr="00000000" w:rsidP="00000000" w14:paraId="00000039">
      <w:pPr>
        <w:spacing w:line="240" w:lineRule="auto"/>
        <w:jc w:val="both"/>
        <w:rPr>
          <w:rFonts w:ascii="Arial" w:eastAsia="Arial" w:hAnsi="Arial" w:cs="Arial"/>
          <w:sz w:val="24"/>
          <w:szCs w:val="24"/>
        </w:rPr>
      </w:pPr>
      <w:r w:rsidRPr="00000000">
        <w:rPr>
          <w:rFonts w:ascii="Arial" w:eastAsia="Arial" w:hAnsi="Arial" w:cs="Arial"/>
          <w:sz w:val="24"/>
          <w:szCs w:val="24"/>
          <w:rtl w:val="0"/>
        </w:rPr>
        <w:t>IX – outros materiais de leitura definidos de acordo com as características da comunidade atendida.</w:t>
      </w:r>
    </w:p>
    <w:p w:rsidR="00000000" w:rsidRPr="00000000" w:rsidP="00000000" w14:paraId="0000003A">
      <w:pPr>
        <w:spacing w:line="240" w:lineRule="auto"/>
        <w:jc w:val="both"/>
        <w:rPr>
          <w:rFonts w:ascii="Arial" w:eastAsia="Arial" w:hAnsi="Arial" w:cs="Arial"/>
          <w:sz w:val="24"/>
          <w:szCs w:val="24"/>
        </w:rPr>
      </w:pPr>
      <w:r w:rsidRPr="00000000">
        <w:rPr>
          <w:rFonts w:ascii="Arial" w:eastAsia="Arial" w:hAnsi="Arial" w:cs="Arial"/>
          <w:sz w:val="24"/>
          <w:szCs w:val="24"/>
          <w:rtl w:val="0"/>
        </w:rPr>
        <w:t>Art. 6º Os Pontos de Leitura poderão adotar diferentes modalidades de acesso e circulação dos acervos, incluindo:</w:t>
      </w:r>
    </w:p>
    <w:p w:rsidR="00000000" w:rsidRPr="00000000" w:rsidP="00000000" w14:paraId="0000003B">
      <w:pPr>
        <w:spacing w:line="240" w:lineRule="auto"/>
        <w:jc w:val="both"/>
        <w:rPr>
          <w:rFonts w:ascii="Arial" w:eastAsia="Arial" w:hAnsi="Arial" w:cs="Arial"/>
          <w:sz w:val="24"/>
          <w:szCs w:val="24"/>
        </w:rPr>
      </w:pPr>
      <w:r w:rsidRPr="00000000">
        <w:rPr>
          <w:rFonts w:ascii="Arial" w:eastAsia="Arial" w:hAnsi="Arial" w:cs="Arial"/>
          <w:sz w:val="24"/>
          <w:szCs w:val="24"/>
          <w:rtl w:val="0"/>
        </w:rPr>
        <w:t>I – consulta e leitura no próprio local;</w:t>
      </w:r>
    </w:p>
    <w:p w:rsidR="00000000" w:rsidRPr="00000000" w:rsidP="00000000" w14:paraId="0000003C">
      <w:pPr>
        <w:spacing w:line="240" w:lineRule="auto"/>
        <w:jc w:val="both"/>
        <w:rPr>
          <w:rFonts w:ascii="Arial" w:eastAsia="Arial" w:hAnsi="Arial" w:cs="Arial"/>
          <w:sz w:val="24"/>
          <w:szCs w:val="24"/>
        </w:rPr>
      </w:pPr>
      <w:r w:rsidRPr="00000000">
        <w:rPr>
          <w:rFonts w:ascii="Arial" w:eastAsia="Arial" w:hAnsi="Arial" w:cs="Arial"/>
          <w:sz w:val="24"/>
          <w:szCs w:val="24"/>
          <w:rtl w:val="0"/>
        </w:rPr>
        <w:t>II – empréstimo gratuito de livros;</w:t>
      </w:r>
    </w:p>
    <w:p w:rsidR="00000000" w:rsidRPr="00000000" w:rsidP="00000000" w14:paraId="0000003D">
      <w:pPr>
        <w:spacing w:line="240" w:lineRule="auto"/>
        <w:jc w:val="both"/>
        <w:rPr>
          <w:rFonts w:ascii="Arial" w:eastAsia="Arial" w:hAnsi="Arial" w:cs="Arial"/>
          <w:sz w:val="24"/>
          <w:szCs w:val="24"/>
        </w:rPr>
      </w:pPr>
      <w:r w:rsidRPr="00000000">
        <w:rPr>
          <w:rFonts w:ascii="Arial" w:eastAsia="Arial" w:hAnsi="Arial" w:cs="Arial"/>
          <w:sz w:val="24"/>
          <w:szCs w:val="24"/>
          <w:rtl w:val="0"/>
        </w:rPr>
        <w:t>III – troca comunitária de livros;</w:t>
      </w:r>
    </w:p>
    <w:p w:rsidR="00000000" w:rsidRPr="00000000" w:rsidP="00000000" w14:paraId="0000003E">
      <w:pPr>
        <w:spacing w:line="240" w:lineRule="auto"/>
        <w:jc w:val="both"/>
        <w:rPr>
          <w:rFonts w:ascii="Arial" w:eastAsia="Arial" w:hAnsi="Arial" w:cs="Arial"/>
          <w:sz w:val="24"/>
          <w:szCs w:val="24"/>
        </w:rPr>
      </w:pPr>
      <w:r w:rsidRPr="00000000">
        <w:rPr>
          <w:rFonts w:ascii="Arial" w:eastAsia="Arial" w:hAnsi="Arial" w:cs="Arial"/>
          <w:sz w:val="24"/>
          <w:szCs w:val="24"/>
          <w:rtl w:val="0"/>
        </w:rPr>
        <w:t>IV – circulação de acervos entre diferentes Pontos de Leitura;</w:t>
      </w:r>
    </w:p>
    <w:p w:rsidR="00000000" w:rsidRPr="00000000" w:rsidP="00000000" w14:paraId="0000003F">
      <w:pPr>
        <w:spacing w:line="240" w:lineRule="auto"/>
        <w:jc w:val="both"/>
        <w:rPr>
          <w:rFonts w:ascii="Arial" w:eastAsia="Arial" w:hAnsi="Arial" w:cs="Arial"/>
          <w:sz w:val="24"/>
          <w:szCs w:val="24"/>
        </w:rPr>
      </w:pPr>
      <w:r w:rsidRPr="00000000">
        <w:rPr>
          <w:rFonts w:ascii="Arial" w:eastAsia="Arial" w:hAnsi="Arial" w:cs="Arial"/>
          <w:sz w:val="24"/>
          <w:szCs w:val="24"/>
          <w:rtl w:val="0"/>
        </w:rPr>
        <w:t>V – empréstimo itinerante;</w:t>
      </w:r>
    </w:p>
    <w:p w:rsidR="00000000" w:rsidRPr="00000000" w:rsidP="00000000" w14:paraId="00000040">
      <w:pPr>
        <w:spacing w:line="240" w:lineRule="auto"/>
        <w:jc w:val="both"/>
        <w:rPr>
          <w:rFonts w:ascii="Arial" w:eastAsia="Arial" w:hAnsi="Arial" w:cs="Arial"/>
          <w:sz w:val="24"/>
          <w:szCs w:val="24"/>
        </w:rPr>
      </w:pPr>
      <w:r w:rsidRPr="00000000">
        <w:rPr>
          <w:rFonts w:ascii="Arial" w:eastAsia="Arial" w:hAnsi="Arial" w:cs="Arial"/>
          <w:sz w:val="24"/>
          <w:szCs w:val="24"/>
          <w:rtl w:val="0"/>
        </w:rPr>
        <w:t>VI – disponibilização de caixas ou estantes de leitura em espaços públicos; e</w:t>
      </w:r>
    </w:p>
    <w:p w:rsidR="00000000" w:rsidRPr="00000000" w:rsidP="00000000" w14:paraId="00000041">
      <w:pPr>
        <w:spacing w:line="240" w:lineRule="auto"/>
        <w:jc w:val="both"/>
        <w:rPr>
          <w:rFonts w:ascii="Arial" w:eastAsia="Arial" w:hAnsi="Arial" w:cs="Arial"/>
          <w:sz w:val="24"/>
          <w:szCs w:val="24"/>
        </w:rPr>
      </w:pPr>
      <w:r w:rsidRPr="00000000">
        <w:rPr>
          <w:rFonts w:ascii="Arial" w:eastAsia="Arial" w:hAnsi="Arial" w:cs="Arial"/>
          <w:sz w:val="24"/>
          <w:szCs w:val="24"/>
          <w:rtl w:val="0"/>
        </w:rPr>
        <w:t>VII – outras formas de compartilhamento que promovam o acesso gratuito à leitura.</w:t>
      </w:r>
    </w:p>
    <w:p w:rsidR="00000000" w:rsidRPr="00000000" w:rsidP="00000000" w14:paraId="00000042">
      <w:pPr>
        <w:spacing w:line="240" w:lineRule="auto"/>
        <w:jc w:val="both"/>
        <w:rPr>
          <w:rFonts w:ascii="Arial" w:eastAsia="Arial" w:hAnsi="Arial" w:cs="Arial"/>
          <w:sz w:val="24"/>
          <w:szCs w:val="24"/>
        </w:rPr>
      </w:pPr>
      <w:r w:rsidRPr="00000000">
        <w:rPr>
          <w:rFonts w:ascii="Arial" w:eastAsia="Arial" w:hAnsi="Arial" w:cs="Arial"/>
          <w:sz w:val="24"/>
          <w:szCs w:val="24"/>
          <w:rtl w:val="0"/>
        </w:rPr>
        <w:t>Parágrafo único. As modalidades de funcionamento e circulação previstas neste artigo poderão ser adequadas às características de cada Ponto de Leitura, observadas as diretrizes estabelecidas pelo Poder Público Municipal.</w:t>
      </w:r>
    </w:p>
    <w:p w:rsidR="00000000" w:rsidRPr="00000000" w:rsidP="00000000" w14:paraId="00000043">
      <w:pPr>
        <w:spacing w:line="240" w:lineRule="auto"/>
        <w:jc w:val="both"/>
        <w:rPr>
          <w:rFonts w:ascii="Arial" w:eastAsia="Arial" w:hAnsi="Arial" w:cs="Arial"/>
          <w:sz w:val="24"/>
          <w:szCs w:val="24"/>
        </w:rPr>
      </w:pPr>
      <w:r w:rsidRPr="00000000">
        <w:rPr>
          <w:rFonts w:ascii="Arial" w:eastAsia="Arial" w:hAnsi="Arial" w:cs="Arial"/>
          <w:sz w:val="24"/>
          <w:szCs w:val="24"/>
          <w:rtl w:val="0"/>
        </w:rPr>
        <w:t>Art. 7º O Programa poderá promover a criação de uma Rede Municipal de Pontos de Leitura, destinada à integração, articulação e cooperação entre os espaços participantes.</w:t>
      </w:r>
    </w:p>
    <w:p w:rsidR="00000000" w:rsidRPr="00000000" w:rsidP="00000000" w14:paraId="00000044">
      <w:pPr>
        <w:spacing w:line="240" w:lineRule="auto"/>
        <w:jc w:val="both"/>
        <w:rPr>
          <w:rFonts w:ascii="Arial" w:eastAsia="Arial" w:hAnsi="Arial" w:cs="Arial"/>
          <w:sz w:val="24"/>
          <w:szCs w:val="24"/>
        </w:rPr>
      </w:pPr>
      <w:r w:rsidRPr="00000000">
        <w:rPr>
          <w:rFonts w:ascii="Arial" w:eastAsia="Arial" w:hAnsi="Arial" w:cs="Arial"/>
          <w:sz w:val="24"/>
          <w:szCs w:val="24"/>
          <w:rtl w:val="0"/>
        </w:rPr>
        <w:t>§ 1º A Rede Municipal de Pontos de Leitura poderá promover:</w:t>
      </w:r>
    </w:p>
    <w:p w:rsidR="00000000" w:rsidRPr="00000000" w:rsidP="00000000" w14:paraId="00000045">
      <w:pPr>
        <w:spacing w:line="240" w:lineRule="auto"/>
        <w:jc w:val="both"/>
        <w:rPr>
          <w:rFonts w:ascii="Arial" w:eastAsia="Arial" w:hAnsi="Arial" w:cs="Arial"/>
          <w:sz w:val="24"/>
          <w:szCs w:val="24"/>
        </w:rPr>
      </w:pPr>
      <w:r w:rsidRPr="00000000">
        <w:rPr>
          <w:rFonts w:ascii="Arial" w:eastAsia="Arial" w:hAnsi="Arial" w:cs="Arial"/>
          <w:sz w:val="24"/>
          <w:szCs w:val="24"/>
          <w:rtl w:val="0"/>
        </w:rPr>
        <w:t>I – intercâmbio de acervos;</w:t>
      </w:r>
    </w:p>
    <w:p w:rsidR="00000000" w:rsidRPr="00000000" w:rsidP="00000000" w14:paraId="00000046">
      <w:pPr>
        <w:spacing w:line="240" w:lineRule="auto"/>
        <w:jc w:val="both"/>
        <w:rPr>
          <w:rFonts w:ascii="Arial" w:eastAsia="Arial" w:hAnsi="Arial" w:cs="Arial"/>
          <w:sz w:val="24"/>
          <w:szCs w:val="24"/>
        </w:rPr>
      </w:pPr>
      <w:r w:rsidRPr="00000000">
        <w:rPr>
          <w:rFonts w:ascii="Arial" w:eastAsia="Arial" w:hAnsi="Arial" w:cs="Arial"/>
          <w:sz w:val="24"/>
          <w:szCs w:val="24"/>
          <w:rtl w:val="0"/>
        </w:rPr>
        <w:t>II – campanhas de arrecadação e doação de livros;</w:t>
      </w:r>
    </w:p>
    <w:p w:rsidR="00000000" w:rsidRPr="00000000" w:rsidP="00000000" w14:paraId="00000047">
      <w:pPr>
        <w:spacing w:line="240" w:lineRule="auto"/>
        <w:jc w:val="both"/>
        <w:rPr>
          <w:rFonts w:ascii="Arial" w:eastAsia="Arial" w:hAnsi="Arial" w:cs="Arial"/>
          <w:sz w:val="24"/>
          <w:szCs w:val="24"/>
        </w:rPr>
      </w:pPr>
      <w:r w:rsidRPr="00000000">
        <w:rPr>
          <w:rFonts w:ascii="Arial" w:eastAsia="Arial" w:hAnsi="Arial" w:cs="Arial"/>
          <w:sz w:val="24"/>
          <w:szCs w:val="24"/>
          <w:rtl w:val="0"/>
        </w:rPr>
        <w:t>III – ações conjuntas de incentivo à leitura;</w:t>
      </w:r>
    </w:p>
    <w:p w:rsidR="00000000" w:rsidRPr="00000000" w:rsidP="00000000" w14:paraId="00000048">
      <w:pPr>
        <w:spacing w:line="240" w:lineRule="auto"/>
        <w:jc w:val="both"/>
        <w:rPr>
          <w:rFonts w:ascii="Arial" w:eastAsia="Arial" w:hAnsi="Arial" w:cs="Arial"/>
          <w:sz w:val="24"/>
          <w:szCs w:val="24"/>
        </w:rPr>
      </w:pPr>
      <w:r w:rsidRPr="00000000">
        <w:rPr>
          <w:rFonts w:ascii="Arial" w:eastAsia="Arial" w:hAnsi="Arial" w:cs="Arial"/>
          <w:sz w:val="24"/>
          <w:szCs w:val="24"/>
          <w:rtl w:val="0"/>
        </w:rPr>
        <w:t>IV – atividades de formação de mediadores de leitura;</w:t>
      </w:r>
    </w:p>
    <w:p w:rsidR="00000000" w:rsidRPr="00000000" w:rsidP="00000000" w14:paraId="00000049">
      <w:pPr>
        <w:spacing w:line="240" w:lineRule="auto"/>
        <w:jc w:val="both"/>
        <w:rPr>
          <w:rFonts w:ascii="Arial" w:eastAsia="Arial" w:hAnsi="Arial" w:cs="Arial"/>
          <w:sz w:val="24"/>
          <w:szCs w:val="24"/>
        </w:rPr>
      </w:pPr>
      <w:r w:rsidRPr="00000000">
        <w:rPr>
          <w:rFonts w:ascii="Arial" w:eastAsia="Arial" w:hAnsi="Arial" w:cs="Arial"/>
          <w:sz w:val="24"/>
          <w:szCs w:val="24"/>
          <w:rtl w:val="0"/>
        </w:rPr>
        <w:t>V – encontros, feiras, rodas de leitura e demais atividades literárias;</w:t>
      </w:r>
    </w:p>
    <w:p w:rsidR="00000000" w:rsidRPr="00000000" w:rsidP="00000000" w14:paraId="0000004A">
      <w:pPr>
        <w:spacing w:line="240" w:lineRule="auto"/>
        <w:jc w:val="both"/>
        <w:rPr>
          <w:rFonts w:ascii="Arial" w:eastAsia="Arial" w:hAnsi="Arial" w:cs="Arial"/>
          <w:sz w:val="24"/>
          <w:szCs w:val="24"/>
        </w:rPr>
      </w:pPr>
      <w:r w:rsidRPr="00000000">
        <w:rPr>
          <w:rFonts w:ascii="Arial" w:eastAsia="Arial" w:hAnsi="Arial" w:cs="Arial"/>
          <w:sz w:val="24"/>
          <w:szCs w:val="24"/>
          <w:rtl w:val="0"/>
        </w:rPr>
        <w:t>VI – divulgação integrada dos Pontos de Leitura;</w:t>
      </w:r>
    </w:p>
    <w:p w:rsidR="00000000" w:rsidRPr="00000000" w:rsidP="00000000" w14:paraId="0000004B">
      <w:pPr>
        <w:spacing w:line="240" w:lineRule="auto"/>
        <w:jc w:val="both"/>
        <w:rPr>
          <w:rFonts w:ascii="Arial" w:eastAsia="Arial" w:hAnsi="Arial" w:cs="Arial"/>
          <w:sz w:val="24"/>
          <w:szCs w:val="24"/>
        </w:rPr>
      </w:pPr>
      <w:r w:rsidRPr="00000000">
        <w:rPr>
          <w:rFonts w:ascii="Arial" w:eastAsia="Arial" w:hAnsi="Arial" w:cs="Arial"/>
          <w:sz w:val="24"/>
          <w:szCs w:val="24"/>
          <w:rtl w:val="0"/>
        </w:rPr>
        <w:t>VII – mapeamento territorial dos espaços participantes; e</w:t>
      </w:r>
    </w:p>
    <w:p w:rsidR="00000000" w:rsidRPr="00000000" w:rsidP="00000000" w14:paraId="0000004C">
      <w:pPr>
        <w:spacing w:line="240" w:lineRule="auto"/>
        <w:jc w:val="both"/>
        <w:rPr>
          <w:rFonts w:ascii="Arial" w:eastAsia="Arial" w:hAnsi="Arial" w:cs="Arial"/>
          <w:sz w:val="24"/>
          <w:szCs w:val="24"/>
        </w:rPr>
      </w:pPr>
      <w:r w:rsidRPr="00000000">
        <w:rPr>
          <w:rFonts w:ascii="Arial" w:eastAsia="Arial" w:hAnsi="Arial" w:cs="Arial"/>
          <w:sz w:val="24"/>
          <w:szCs w:val="24"/>
          <w:rtl w:val="0"/>
        </w:rPr>
        <w:t>VIII – compartilhamento de metodologias e experiências entre os participantes.</w:t>
      </w:r>
    </w:p>
    <w:p w:rsidR="00000000" w:rsidRPr="00000000" w:rsidP="00000000" w14:paraId="0000004D">
      <w:pPr>
        <w:spacing w:line="240" w:lineRule="auto"/>
        <w:jc w:val="both"/>
        <w:rPr>
          <w:rFonts w:ascii="Arial" w:eastAsia="Arial" w:hAnsi="Arial" w:cs="Arial"/>
          <w:sz w:val="24"/>
          <w:szCs w:val="24"/>
        </w:rPr>
      </w:pPr>
      <w:r w:rsidRPr="00000000">
        <w:rPr>
          <w:rFonts w:ascii="Arial" w:eastAsia="Arial" w:hAnsi="Arial" w:cs="Arial"/>
          <w:sz w:val="24"/>
          <w:szCs w:val="24"/>
          <w:rtl w:val="0"/>
        </w:rPr>
        <w:t>§ 2º A Rede Municipal de Pontos de Leitura poderá estabelecer mecanismos de articulação com a Rede Municipal de Bibliotecas Públicas, respeitadas as atribuições técnicas e profissionais próprias dos serviços biblioteconômicos.</w:t>
      </w:r>
    </w:p>
    <w:p w:rsidR="00000000" w:rsidRPr="00000000" w:rsidP="00000000" w14:paraId="0000004E">
      <w:pPr>
        <w:spacing w:line="240" w:lineRule="auto"/>
        <w:jc w:val="both"/>
        <w:rPr>
          <w:rFonts w:ascii="Arial" w:eastAsia="Arial" w:hAnsi="Arial" w:cs="Arial"/>
          <w:sz w:val="24"/>
          <w:szCs w:val="24"/>
        </w:rPr>
      </w:pPr>
      <w:r w:rsidRPr="00000000">
        <w:rPr>
          <w:rFonts w:ascii="Arial" w:eastAsia="Arial" w:hAnsi="Arial" w:cs="Arial"/>
          <w:sz w:val="24"/>
          <w:szCs w:val="24"/>
          <w:rtl w:val="0"/>
        </w:rPr>
        <w:t>Art. 8º Os Pontos de Leitura poderão ser implantados diretamente pelo Poder Público Municipal ou mediante parcerias com:</w:t>
      </w:r>
    </w:p>
    <w:p w:rsidR="00000000" w:rsidRPr="00000000" w:rsidP="00000000" w14:paraId="0000004F">
      <w:pPr>
        <w:spacing w:line="240" w:lineRule="auto"/>
        <w:jc w:val="both"/>
        <w:rPr>
          <w:rFonts w:ascii="Arial" w:eastAsia="Arial" w:hAnsi="Arial" w:cs="Arial"/>
          <w:sz w:val="24"/>
          <w:szCs w:val="24"/>
        </w:rPr>
      </w:pPr>
      <w:r w:rsidRPr="00000000">
        <w:rPr>
          <w:rFonts w:ascii="Arial" w:eastAsia="Arial" w:hAnsi="Arial" w:cs="Arial"/>
          <w:sz w:val="24"/>
          <w:szCs w:val="24"/>
          <w:rtl w:val="0"/>
        </w:rPr>
        <w:t>I – organizações da sociedade civil;</w:t>
      </w:r>
    </w:p>
    <w:p w:rsidR="00000000" w:rsidRPr="00000000" w:rsidP="00000000" w14:paraId="00000050">
      <w:pPr>
        <w:spacing w:line="240" w:lineRule="auto"/>
        <w:jc w:val="both"/>
        <w:rPr>
          <w:rFonts w:ascii="Arial" w:eastAsia="Arial" w:hAnsi="Arial" w:cs="Arial"/>
          <w:sz w:val="24"/>
          <w:szCs w:val="24"/>
        </w:rPr>
      </w:pPr>
      <w:r w:rsidRPr="00000000">
        <w:rPr>
          <w:rFonts w:ascii="Arial" w:eastAsia="Arial" w:hAnsi="Arial" w:cs="Arial"/>
          <w:sz w:val="24"/>
          <w:szCs w:val="24"/>
          <w:rtl w:val="0"/>
        </w:rPr>
        <w:t>II – associações comunitárias;</w:t>
      </w:r>
    </w:p>
    <w:p w:rsidR="00000000" w:rsidRPr="00000000" w:rsidP="00000000" w14:paraId="00000051">
      <w:pPr>
        <w:spacing w:line="240" w:lineRule="auto"/>
        <w:jc w:val="both"/>
        <w:rPr>
          <w:rFonts w:ascii="Arial" w:eastAsia="Arial" w:hAnsi="Arial" w:cs="Arial"/>
          <w:sz w:val="24"/>
          <w:szCs w:val="24"/>
        </w:rPr>
      </w:pPr>
      <w:r w:rsidRPr="00000000">
        <w:rPr>
          <w:rFonts w:ascii="Arial" w:eastAsia="Arial" w:hAnsi="Arial" w:cs="Arial"/>
          <w:sz w:val="24"/>
          <w:szCs w:val="24"/>
          <w:rtl w:val="0"/>
        </w:rPr>
        <w:t>III – instituições de ensino;</w:t>
      </w:r>
    </w:p>
    <w:p w:rsidR="00000000" w:rsidRPr="00000000" w:rsidP="00000000" w14:paraId="00000052">
      <w:pPr>
        <w:spacing w:line="240" w:lineRule="auto"/>
        <w:jc w:val="both"/>
        <w:rPr>
          <w:rFonts w:ascii="Arial" w:eastAsia="Arial" w:hAnsi="Arial" w:cs="Arial"/>
          <w:sz w:val="24"/>
          <w:szCs w:val="24"/>
        </w:rPr>
      </w:pPr>
      <w:r w:rsidRPr="00000000">
        <w:rPr>
          <w:rFonts w:ascii="Arial" w:eastAsia="Arial" w:hAnsi="Arial" w:cs="Arial"/>
          <w:sz w:val="24"/>
          <w:szCs w:val="24"/>
          <w:rtl w:val="0"/>
        </w:rPr>
        <w:t>IV – coletivos culturais;</w:t>
      </w:r>
    </w:p>
    <w:p w:rsidR="00000000" w:rsidRPr="00000000" w:rsidP="00000000" w14:paraId="00000053">
      <w:pPr>
        <w:spacing w:line="240" w:lineRule="auto"/>
        <w:jc w:val="both"/>
        <w:rPr>
          <w:rFonts w:ascii="Arial" w:eastAsia="Arial" w:hAnsi="Arial" w:cs="Arial"/>
          <w:sz w:val="24"/>
          <w:szCs w:val="24"/>
        </w:rPr>
      </w:pPr>
      <w:r w:rsidRPr="00000000">
        <w:rPr>
          <w:rFonts w:ascii="Arial" w:eastAsia="Arial" w:hAnsi="Arial" w:cs="Arial"/>
          <w:sz w:val="24"/>
          <w:szCs w:val="24"/>
          <w:rtl w:val="0"/>
        </w:rPr>
        <w:t>V – entidades sem fins lucrativos;</w:t>
      </w:r>
    </w:p>
    <w:p w:rsidR="00000000" w:rsidRPr="00000000" w:rsidP="00000000" w14:paraId="00000054">
      <w:pPr>
        <w:spacing w:line="240" w:lineRule="auto"/>
        <w:jc w:val="both"/>
        <w:rPr>
          <w:rFonts w:ascii="Arial" w:eastAsia="Arial" w:hAnsi="Arial" w:cs="Arial"/>
          <w:sz w:val="24"/>
          <w:szCs w:val="24"/>
        </w:rPr>
      </w:pPr>
      <w:r w:rsidRPr="00000000">
        <w:rPr>
          <w:rFonts w:ascii="Arial" w:eastAsia="Arial" w:hAnsi="Arial" w:cs="Arial"/>
          <w:sz w:val="24"/>
          <w:szCs w:val="24"/>
          <w:rtl w:val="0"/>
        </w:rPr>
        <w:t>VI – empresas e estabelecimentos privados;</w:t>
      </w:r>
    </w:p>
    <w:p w:rsidR="00000000" w:rsidRPr="00000000" w:rsidP="00000000" w14:paraId="00000055">
      <w:pPr>
        <w:spacing w:line="240" w:lineRule="auto"/>
        <w:jc w:val="both"/>
        <w:rPr>
          <w:rFonts w:ascii="Arial" w:eastAsia="Arial" w:hAnsi="Arial" w:cs="Arial"/>
          <w:sz w:val="24"/>
          <w:szCs w:val="24"/>
        </w:rPr>
      </w:pPr>
      <w:r w:rsidRPr="00000000">
        <w:rPr>
          <w:rFonts w:ascii="Arial" w:eastAsia="Arial" w:hAnsi="Arial" w:cs="Arial"/>
          <w:sz w:val="24"/>
          <w:szCs w:val="24"/>
          <w:rtl w:val="0"/>
        </w:rPr>
        <w:t>VII – fundações e institutos;</w:t>
      </w:r>
    </w:p>
    <w:p w:rsidR="00000000" w:rsidRPr="00000000" w:rsidP="00000000" w14:paraId="00000056">
      <w:pPr>
        <w:spacing w:line="240" w:lineRule="auto"/>
        <w:jc w:val="both"/>
        <w:rPr>
          <w:rFonts w:ascii="Arial" w:eastAsia="Arial" w:hAnsi="Arial" w:cs="Arial"/>
          <w:sz w:val="24"/>
          <w:szCs w:val="24"/>
        </w:rPr>
      </w:pPr>
      <w:r w:rsidRPr="00000000">
        <w:rPr>
          <w:rFonts w:ascii="Arial" w:eastAsia="Arial" w:hAnsi="Arial" w:cs="Arial"/>
          <w:sz w:val="24"/>
          <w:szCs w:val="24"/>
          <w:rtl w:val="0"/>
        </w:rPr>
        <w:t>VIII – bibliotecas comunitárias;</w:t>
      </w:r>
    </w:p>
    <w:p w:rsidR="00000000" w:rsidRPr="00000000" w:rsidP="00000000" w14:paraId="00000057">
      <w:pPr>
        <w:spacing w:line="240" w:lineRule="auto"/>
        <w:jc w:val="both"/>
        <w:rPr>
          <w:rFonts w:ascii="Arial" w:eastAsia="Arial" w:hAnsi="Arial" w:cs="Arial"/>
          <w:sz w:val="24"/>
          <w:szCs w:val="24"/>
        </w:rPr>
      </w:pPr>
      <w:r w:rsidRPr="00000000">
        <w:rPr>
          <w:rFonts w:ascii="Arial" w:eastAsia="Arial" w:hAnsi="Arial" w:cs="Arial"/>
          <w:sz w:val="24"/>
          <w:szCs w:val="24"/>
          <w:rtl w:val="0"/>
        </w:rPr>
        <w:t>IX – grupos e iniciativas de promoção da leitura; e</w:t>
      </w:r>
    </w:p>
    <w:p w:rsidR="00000000" w:rsidRPr="00000000" w:rsidP="00000000" w14:paraId="00000058">
      <w:pPr>
        <w:spacing w:line="240" w:lineRule="auto"/>
        <w:jc w:val="both"/>
        <w:rPr>
          <w:rFonts w:ascii="Arial" w:eastAsia="Arial" w:hAnsi="Arial" w:cs="Arial"/>
          <w:sz w:val="24"/>
          <w:szCs w:val="24"/>
        </w:rPr>
      </w:pPr>
      <w:r w:rsidRPr="00000000">
        <w:rPr>
          <w:rFonts w:ascii="Arial" w:eastAsia="Arial" w:hAnsi="Arial" w:cs="Arial"/>
          <w:sz w:val="24"/>
          <w:szCs w:val="24"/>
          <w:rtl w:val="0"/>
        </w:rPr>
        <w:t>X – outras instituições interessadas na promoção do livro e da leitura.</w:t>
      </w:r>
    </w:p>
    <w:p w:rsidR="00000000" w:rsidRPr="00000000" w:rsidP="00000000" w14:paraId="00000059">
      <w:pPr>
        <w:spacing w:line="240" w:lineRule="auto"/>
        <w:jc w:val="both"/>
        <w:rPr>
          <w:rFonts w:ascii="Arial" w:eastAsia="Arial" w:hAnsi="Arial" w:cs="Arial"/>
          <w:sz w:val="24"/>
          <w:szCs w:val="24"/>
        </w:rPr>
      </w:pPr>
      <w:r w:rsidRPr="00000000">
        <w:rPr>
          <w:rFonts w:ascii="Arial" w:eastAsia="Arial" w:hAnsi="Arial" w:cs="Arial"/>
          <w:sz w:val="24"/>
          <w:szCs w:val="24"/>
          <w:rtl w:val="0"/>
        </w:rPr>
        <w:t>Art. 9º As parcerias previstas nesta Lei poderão compreender, entre outras formas de cooperação:</w:t>
      </w:r>
    </w:p>
    <w:p w:rsidR="00000000" w:rsidRPr="00000000" w:rsidP="00000000" w14:paraId="0000005A">
      <w:pPr>
        <w:spacing w:line="240" w:lineRule="auto"/>
        <w:jc w:val="both"/>
        <w:rPr>
          <w:rFonts w:ascii="Arial" w:eastAsia="Arial" w:hAnsi="Arial" w:cs="Arial"/>
          <w:sz w:val="24"/>
          <w:szCs w:val="24"/>
        </w:rPr>
      </w:pPr>
      <w:r w:rsidRPr="00000000">
        <w:rPr>
          <w:rFonts w:ascii="Arial" w:eastAsia="Arial" w:hAnsi="Arial" w:cs="Arial"/>
          <w:sz w:val="24"/>
          <w:szCs w:val="24"/>
          <w:rtl w:val="0"/>
        </w:rPr>
        <w:t>I – cessão ou disponibilização de espaço físico;</w:t>
      </w:r>
    </w:p>
    <w:p w:rsidR="00000000" w:rsidRPr="00000000" w:rsidP="00000000" w14:paraId="0000005B">
      <w:pPr>
        <w:spacing w:line="240" w:lineRule="auto"/>
        <w:jc w:val="both"/>
        <w:rPr>
          <w:rFonts w:ascii="Arial" w:eastAsia="Arial" w:hAnsi="Arial" w:cs="Arial"/>
          <w:sz w:val="24"/>
          <w:szCs w:val="24"/>
        </w:rPr>
      </w:pPr>
      <w:r w:rsidRPr="00000000">
        <w:rPr>
          <w:rFonts w:ascii="Arial" w:eastAsia="Arial" w:hAnsi="Arial" w:cs="Arial"/>
          <w:sz w:val="24"/>
          <w:szCs w:val="24"/>
          <w:rtl w:val="0"/>
        </w:rPr>
        <w:t>II – doação ou compartilhamento de acervos;</w:t>
      </w:r>
    </w:p>
    <w:p w:rsidR="00000000" w:rsidRPr="00000000" w:rsidP="00000000" w14:paraId="0000005C">
      <w:pPr>
        <w:spacing w:line="240" w:lineRule="auto"/>
        <w:jc w:val="both"/>
        <w:rPr>
          <w:rFonts w:ascii="Arial" w:eastAsia="Arial" w:hAnsi="Arial" w:cs="Arial"/>
          <w:sz w:val="24"/>
          <w:szCs w:val="24"/>
        </w:rPr>
      </w:pPr>
      <w:r w:rsidRPr="00000000">
        <w:rPr>
          <w:rFonts w:ascii="Arial" w:eastAsia="Arial" w:hAnsi="Arial" w:cs="Arial"/>
          <w:sz w:val="24"/>
          <w:szCs w:val="24"/>
          <w:rtl w:val="0"/>
        </w:rPr>
        <w:t>III – disponibilização de mobiliário e equipamentos;</w:t>
      </w:r>
    </w:p>
    <w:p w:rsidR="00000000" w:rsidRPr="00000000" w:rsidP="00000000" w14:paraId="0000005D">
      <w:pPr>
        <w:spacing w:line="240" w:lineRule="auto"/>
        <w:jc w:val="both"/>
        <w:rPr>
          <w:rFonts w:ascii="Arial" w:eastAsia="Arial" w:hAnsi="Arial" w:cs="Arial"/>
          <w:sz w:val="24"/>
          <w:szCs w:val="24"/>
        </w:rPr>
      </w:pPr>
      <w:r w:rsidRPr="00000000">
        <w:rPr>
          <w:rFonts w:ascii="Arial" w:eastAsia="Arial" w:hAnsi="Arial" w:cs="Arial"/>
          <w:sz w:val="24"/>
          <w:szCs w:val="24"/>
          <w:rtl w:val="0"/>
        </w:rPr>
        <w:t>IV – realização de atividades culturais e educativas;</w:t>
      </w:r>
    </w:p>
    <w:p w:rsidR="00000000" w:rsidRPr="00000000" w:rsidP="00000000" w14:paraId="0000005E">
      <w:pPr>
        <w:spacing w:line="240" w:lineRule="auto"/>
        <w:jc w:val="both"/>
        <w:rPr>
          <w:rFonts w:ascii="Arial" w:eastAsia="Arial" w:hAnsi="Arial" w:cs="Arial"/>
          <w:sz w:val="24"/>
          <w:szCs w:val="24"/>
        </w:rPr>
      </w:pPr>
      <w:r w:rsidRPr="00000000">
        <w:rPr>
          <w:rFonts w:ascii="Arial" w:eastAsia="Arial" w:hAnsi="Arial" w:cs="Arial"/>
          <w:sz w:val="24"/>
          <w:szCs w:val="24"/>
          <w:rtl w:val="0"/>
        </w:rPr>
        <w:t>V – apoio à manutenção dos espaços;</w:t>
      </w:r>
    </w:p>
    <w:p w:rsidR="00000000" w:rsidRPr="00000000" w:rsidP="00000000" w14:paraId="0000005F">
      <w:pPr>
        <w:spacing w:line="240" w:lineRule="auto"/>
        <w:jc w:val="both"/>
        <w:rPr>
          <w:rFonts w:ascii="Arial" w:eastAsia="Arial" w:hAnsi="Arial" w:cs="Arial"/>
          <w:sz w:val="24"/>
          <w:szCs w:val="24"/>
        </w:rPr>
      </w:pPr>
      <w:r w:rsidRPr="00000000">
        <w:rPr>
          <w:rFonts w:ascii="Arial" w:eastAsia="Arial" w:hAnsi="Arial" w:cs="Arial"/>
          <w:sz w:val="24"/>
          <w:szCs w:val="24"/>
          <w:rtl w:val="0"/>
        </w:rPr>
        <w:t>VI – formação e capacitação de mediadores de leitura;</w:t>
      </w:r>
    </w:p>
    <w:p w:rsidR="00000000" w:rsidRPr="00000000" w:rsidP="00000000" w14:paraId="00000060">
      <w:pPr>
        <w:spacing w:line="240" w:lineRule="auto"/>
        <w:jc w:val="both"/>
        <w:rPr>
          <w:rFonts w:ascii="Arial" w:eastAsia="Arial" w:hAnsi="Arial" w:cs="Arial"/>
          <w:sz w:val="24"/>
          <w:szCs w:val="24"/>
        </w:rPr>
      </w:pPr>
      <w:r w:rsidRPr="00000000">
        <w:rPr>
          <w:rFonts w:ascii="Arial" w:eastAsia="Arial" w:hAnsi="Arial" w:cs="Arial"/>
          <w:sz w:val="24"/>
          <w:szCs w:val="24"/>
          <w:rtl w:val="0"/>
        </w:rPr>
        <w:t>VII – desenvolvimento de campanhas de incentivo à leitura; e</w:t>
      </w:r>
    </w:p>
    <w:p w:rsidR="00000000" w:rsidRPr="00000000" w:rsidP="00000000" w14:paraId="00000061">
      <w:pPr>
        <w:spacing w:line="240" w:lineRule="auto"/>
        <w:jc w:val="both"/>
        <w:rPr>
          <w:rFonts w:ascii="Arial" w:eastAsia="Arial" w:hAnsi="Arial" w:cs="Arial"/>
          <w:sz w:val="24"/>
          <w:szCs w:val="24"/>
        </w:rPr>
      </w:pPr>
      <w:r w:rsidRPr="00000000">
        <w:rPr>
          <w:rFonts w:ascii="Arial" w:eastAsia="Arial" w:hAnsi="Arial" w:cs="Arial"/>
          <w:sz w:val="24"/>
          <w:szCs w:val="24"/>
          <w:rtl w:val="0"/>
        </w:rPr>
        <w:t>VIII – outras ações compatíveis com os objetivos desta Lei.</w:t>
      </w:r>
    </w:p>
    <w:p w:rsidR="00000000" w:rsidRPr="00000000" w:rsidP="00000000" w14:paraId="00000062">
      <w:pPr>
        <w:spacing w:line="240" w:lineRule="auto"/>
        <w:jc w:val="both"/>
        <w:rPr>
          <w:rFonts w:ascii="Arial" w:eastAsia="Arial" w:hAnsi="Arial" w:cs="Arial"/>
          <w:sz w:val="24"/>
          <w:szCs w:val="24"/>
        </w:rPr>
      </w:pPr>
      <w:r w:rsidRPr="00000000">
        <w:rPr>
          <w:rFonts w:ascii="Arial" w:eastAsia="Arial" w:hAnsi="Arial" w:cs="Arial"/>
          <w:sz w:val="24"/>
          <w:szCs w:val="24"/>
          <w:rtl w:val="0"/>
        </w:rPr>
        <w:t>Art. 10º O Poder Público Municipal poderá estabelecer critérios para reconhecimento e integração dos espaços participantes à Rede Municipal de Pontos de Leitura.</w:t>
      </w:r>
    </w:p>
    <w:p w:rsidR="00000000" w:rsidRPr="00000000" w:rsidP="00000000" w14:paraId="00000063">
      <w:pPr>
        <w:spacing w:line="240" w:lineRule="auto"/>
        <w:jc w:val="both"/>
        <w:rPr>
          <w:rFonts w:ascii="Arial" w:eastAsia="Arial" w:hAnsi="Arial" w:cs="Arial"/>
          <w:sz w:val="24"/>
          <w:szCs w:val="24"/>
        </w:rPr>
      </w:pPr>
      <w:r w:rsidRPr="00000000">
        <w:rPr>
          <w:rFonts w:ascii="Arial" w:eastAsia="Arial" w:hAnsi="Arial" w:cs="Arial"/>
          <w:sz w:val="24"/>
          <w:szCs w:val="24"/>
          <w:rtl w:val="0"/>
        </w:rPr>
        <w:t>Parágrafo único. O reconhecimento como Ponto de Leitura não implicará, por si só, a transformação do espaço em biblioteca pública ou a alteração de sua natureza jurídica ou administrativa.</w:t>
      </w:r>
    </w:p>
    <w:p w:rsidR="00000000" w:rsidRPr="00000000" w:rsidP="00000000" w14:paraId="00000064">
      <w:pPr>
        <w:spacing w:line="240" w:lineRule="auto"/>
        <w:jc w:val="both"/>
        <w:rPr>
          <w:rFonts w:ascii="Arial" w:eastAsia="Arial" w:hAnsi="Arial" w:cs="Arial"/>
          <w:sz w:val="24"/>
          <w:szCs w:val="24"/>
        </w:rPr>
      </w:pPr>
      <w:r w:rsidRPr="00000000">
        <w:rPr>
          <w:rFonts w:ascii="Arial" w:eastAsia="Arial" w:hAnsi="Arial" w:cs="Arial"/>
          <w:sz w:val="24"/>
          <w:szCs w:val="24"/>
          <w:rtl w:val="0"/>
        </w:rPr>
        <w:t>Art. 11º Na implantação e no funcionamento dos Pontos de Leitura deverão ser observadas, sempre que tecnicamente cabíveis, medidas de acessibilidade física, comunicacional, informacional e atitudinal, de modo a ampliar o acesso de pessoas com deficiência e de pessoas com diferentes necessidades de leitura e comunicação.</w:t>
      </w:r>
    </w:p>
    <w:p w:rsidR="00000000" w:rsidRPr="00000000" w:rsidP="00000000" w14:paraId="00000065">
      <w:pPr>
        <w:spacing w:line="240" w:lineRule="auto"/>
        <w:jc w:val="both"/>
        <w:rPr>
          <w:rFonts w:ascii="Arial" w:eastAsia="Arial" w:hAnsi="Arial" w:cs="Arial"/>
          <w:sz w:val="24"/>
          <w:szCs w:val="24"/>
        </w:rPr>
      </w:pPr>
      <w:r w:rsidRPr="00000000">
        <w:rPr>
          <w:rFonts w:ascii="Arial" w:eastAsia="Arial" w:hAnsi="Arial" w:cs="Arial"/>
          <w:sz w:val="24"/>
          <w:szCs w:val="24"/>
          <w:rtl w:val="0"/>
        </w:rPr>
        <w:t>Art. 12º O Programa poderá priorizar a implantação de Pontos de Leitura em regiões e territórios que apresentem:</w:t>
      </w:r>
    </w:p>
    <w:p w:rsidR="00000000" w:rsidRPr="00000000" w:rsidP="00000000" w14:paraId="00000066">
      <w:pPr>
        <w:spacing w:line="240" w:lineRule="auto"/>
        <w:jc w:val="both"/>
        <w:rPr>
          <w:rFonts w:ascii="Arial" w:eastAsia="Arial" w:hAnsi="Arial" w:cs="Arial"/>
          <w:sz w:val="24"/>
          <w:szCs w:val="24"/>
        </w:rPr>
      </w:pPr>
      <w:r w:rsidRPr="00000000">
        <w:rPr>
          <w:rFonts w:ascii="Arial" w:eastAsia="Arial" w:hAnsi="Arial" w:cs="Arial"/>
          <w:sz w:val="24"/>
          <w:szCs w:val="24"/>
          <w:rtl w:val="0"/>
        </w:rPr>
        <w:t>I – menor oferta de equipamentos culturais;</w:t>
      </w:r>
    </w:p>
    <w:p w:rsidR="00000000" w:rsidRPr="00000000" w:rsidP="00000000" w14:paraId="00000067">
      <w:pPr>
        <w:spacing w:line="240" w:lineRule="auto"/>
        <w:jc w:val="both"/>
        <w:rPr>
          <w:rFonts w:ascii="Arial" w:eastAsia="Arial" w:hAnsi="Arial" w:cs="Arial"/>
          <w:sz w:val="24"/>
          <w:szCs w:val="24"/>
        </w:rPr>
      </w:pPr>
      <w:r w:rsidRPr="00000000">
        <w:rPr>
          <w:rFonts w:ascii="Arial" w:eastAsia="Arial" w:hAnsi="Arial" w:cs="Arial"/>
          <w:sz w:val="24"/>
          <w:szCs w:val="24"/>
          <w:rtl w:val="0"/>
        </w:rPr>
        <w:t>II – maior distância ou dificuldade de acesso às bibliotecas públicas municipais;</w:t>
      </w:r>
    </w:p>
    <w:p w:rsidR="00000000" w:rsidRPr="00000000" w:rsidP="00000000" w14:paraId="00000068">
      <w:pPr>
        <w:spacing w:line="240" w:lineRule="auto"/>
        <w:jc w:val="both"/>
        <w:rPr>
          <w:rFonts w:ascii="Arial" w:eastAsia="Arial" w:hAnsi="Arial" w:cs="Arial"/>
          <w:sz w:val="24"/>
          <w:szCs w:val="24"/>
        </w:rPr>
      </w:pPr>
      <w:r w:rsidRPr="00000000">
        <w:rPr>
          <w:rFonts w:ascii="Arial" w:eastAsia="Arial" w:hAnsi="Arial" w:cs="Arial"/>
          <w:sz w:val="24"/>
          <w:szCs w:val="24"/>
          <w:rtl w:val="0"/>
        </w:rPr>
        <w:t>III – maior vulnerabilidade social;</w:t>
      </w:r>
    </w:p>
    <w:p w:rsidR="00000000" w:rsidRPr="00000000" w:rsidP="00000000" w14:paraId="00000069">
      <w:pPr>
        <w:spacing w:line="240" w:lineRule="auto"/>
        <w:jc w:val="both"/>
        <w:rPr>
          <w:rFonts w:ascii="Arial" w:eastAsia="Arial" w:hAnsi="Arial" w:cs="Arial"/>
          <w:sz w:val="24"/>
          <w:szCs w:val="24"/>
        </w:rPr>
      </w:pPr>
      <w:r w:rsidRPr="00000000">
        <w:rPr>
          <w:rFonts w:ascii="Arial" w:eastAsia="Arial" w:hAnsi="Arial" w:cs="Arial"/>
          <w:sz w:val="24"/>
          <w:szCs w:val="24"/>
          <w:rtl w:val="0"/>
        </w:rPr>
        <w:t>IV – concentração populacional;</w:t>
      </w:r>
    </w:p>
    <w:p w:rsidR="00000000" w:rsidRPr="00000000" w:rsidP="00000000" w14:paraId="0000006A">
      <w:pPr>
        <w:spacing w:line="240" w:lineRule="auto"/>
        <w:jc w:val="both"/>
        <w:rPr>
          <w:rFonts w:ascii="Arial" w:eastAsia="Arial" w:hAnsi="Arial" w:cs="Arial"/>
          <w:sz w:val="24"/>
          <w:szCs w:val="24"/>
        </w:rPr>
      </w:pPr>
      <w:r w:rsidRPr="00000000">
        <w:rPr>
          <w:rFonts w:ascii="Arial" w:eastAsia="Arial" w:hAnsi="Arial" w:cs="Arial"/>
          <w:sz w:val="24"/>
          <w:szCs w:val="24"/>
          <w:rtl w:val="0"/>
        </w:rPr>
        <w:t>V – demanda identificada por equipamentos culturais e de leitura; ou</w:t>
      </w:r>
    </w:p>
    <w:p w:rsidR="00000000" w:rsidRPr="00000000" w:rsidP="00000000" w14:paraId="0000006B">
      <w:pPr>
        <w:spacing w:line="240" w:lineRule="auto"/>
        <w:jc w:val="both"/>
        <w:rPr>
          <w:rFonts w:ascii="Arial" w:eastAsia="Arial" w:hAnsi="Arial" w:cs="Arial"/>
          <w:sz w:val="24"/>
          <w:szCs w:val="24"/>
        </w:rPr>
      </w:pPr>
      <w:r w:rsidRPr="00000000">
        <w:rPr>
          <w:rFonts w:ascii="Arial" w:eastAsia="Arial" w:hAnsi="Arial" w:cs="Arial"/>
          <w:sz w:val="24"/>
          <w:szCs w:val="24"/>
          <w:rtl w:val="0"/>
        </w:rPr>
        <w:t>VI – existência de iniciativas comunitárias de promoção da leitura.</w:t>
      </w:r>
    </w:p>
    <w:p w:rsidR="00000000" w:rsidRPr="00000000" w:rsidP="00000000" w14:paraId="0000006C">
      <w:pPr>
        <w:spacing w:line="240" w:lineRule="auto"/>
        <w:jc w:val="both"/>
        <w:rPr>
          <w:rFonts w:ascii="Arial" w:eastAsia="Arial" w:hAnsi="Arial" w:cs="Arial"/>
          <w:sz w:val="24"/>
          <w:szCs w:val="24"/>
        </w:rPr>
      </w:pPr>
      <w:r w:rsidRPr="00000000">
        <w:rPr>
          <w:rFonts w:ascii="Arial" w:eastAsia="Arial" w:hAnsi="Arial" w:cs="Arial"/>
          <w:sz w:val="24"/>
          <w:szCs w:val="24"/>
          <w:rtl w:val="0"/>
        </w:rPr>
        <w:t>Art. 13º Os Pontos de Leitura poderão desenvolver atividades de formação e mediação, tais como:</w:t>
      </w:r>
    </w:p>
    <w:p w:rsidR="00000000" w:rsidRPr="00000000" w:rsidP="00000000" w14:paraId="0000006D">
      <w:pPr>
        <w:spacing w:line="240" w:lineRule="auto"/>
        <w:jc w:val="both"/>
        <w:rPr>
          <w:rFonts w:ascii="Arial" w:eastAsia="Arial" w:hAnsi="Arial" w:cs="Arial"/>
          <w:sz w:val="24"/>
          <w:szCs w:val="24"/>
        </w:rPr>
      </w:pPr>
      <w:r w:rsidRPr="00000000">
        <w:rPr>
          <w:rFonts w:ascii="Arial" w:eastAsia="Arial" w:hAnsi="Arial" w:cs="Arial"/>
          <w:sz w:val="24"/>
          <w:szCs w:val="24"/>
          <w:rtl w:val="0"/>
        </w:rPr>
        <w:t>I – rodas de leitura;</w:t>
      </w:r>
    </w:p>
    <w:p w:rsidR="00000000" w:rsidRPr="00000000" w:rsidP="00000000" w14:paraId="0000006E">
      <w:pPr>
        <w:spacing w:line="240" w:lineRule="auto"/>
        <w:jc w:val="both"/>
        <w:rPr>
          <w:rFonts w:ascii="Arial" w:eastAsia="Arial" w:hAnsi="Arial" w:cs="Arial"/>
          <w:sz w:val="24"/>
          <w:szCs w:val="24"/>
        </w:rPr>
      </w:pPr>
      <w:r w:rsidRPr="00000000">
        <w:rPr>
          <w:rFonts w:ascii="Arial" w:eastAsia="Arial" w:hAnsi="Arial" w:cs="Arial"/>
          <w:sz w:val="24"/>
          <w:szCs w:val="24"/>
          <w:rtl w:val="0"/>
        </w:rPr>
        <w:t>II – clubes do livro;</w:t>
      </w:r>
    </w:p>
    <w:p w:rsidR="00000000" w:rsidRPr="00000000" w:rsidP="00000000" w14:paraId="0000006F">
      <w:pPr>
        <w:spacing w:line="240" w:lineRule="auto"/>
        <w:jc w:val="both"/>
        <w:rPr>
          <w:rFonts w:ascii="Arial" w:eastAsia="Arial" w:hAnsi="Arial" w:cs="Arial"/>
          <w:sz w:val="24"/>
          <w:szCs w:val="24"/>
        </w:rPr>
      </w:pPr>
      <w:r w:rsidRPr="00000000">
        <w:rPr>
          <w:rFonts w:ascii="Arial" w:eastAsia="Arial" w:hAnsi="Arial" w:cs="Arial"/>
          <w:sz w:val="24"/>
          <w:szCs w:val="24"/>
          <w:rtl w:val="0"/>
        </w:rPr>
        <w:t>III – contação de histórias;</w:t>
      </w:r>
    </w:p>
    <w:p w:rsidR="00000000" w:rsidRPr="00000000" w:rsidP="00000000" w14:paraId="00000070">
      <w:pPr>
        <w:spacing w:line="240" w:lineRule="auto"/>
        <w:jc w:val="both"/>
        <w:rPr>
          <w:rFonts w:ascii="Arial" w:eastAsia="Arial" w:hAnsi="Arial" w:cs="Arial"/>
          <w:sz w:val="24"/>
          <w:szCs w:val="24"/>
        </w:rPr>
      </w:pPr>
      <w:r w:rsidRPr="00000000">
        <w:rPr>
          <w:rFonts w:ascii="Arial" w:eastAsia="Arial" w:hAnsi="Arial" w:cs="Arial"/>
          <w:sz w:val="24"/>
          <w:szCs w:val="24"/>
          <w:rtl w:val="0"/>
        </w:rPr>
        <w:t>IV – encontros com escritores e artistas;</w:t>
      </w:r>
    </w:p>
    <w:p w:rsidR="00000000" w:rsidRPr="00000000" w:rsidP="00000000" w14:paraId="00000071">
      <w:pPr>
        <w:spacing w:line="240" w:lineRule="auto"/>
        <w:jc w:val="both"/>
        <w:rPr>
          <w:rFonts w:ascii="Arial" w:eastAsia="Arial" w:hAnsi="Arial" w:cs="Arial"/>
          <w:sz w:val="24"/>
          <w:szCs w:val="24"/>
        </w:rPr>
      </w:pPr>
      <w:r w:rsidRPr="00000000">
        <w:rPr>
          <w:rFonts w:ascii="Arial" w:eastAsia="Arial" w:hAnsi="Arial" w:cs="Arial"/>
          <w:sz w:val="24"/>
          <w:szCs w:val="24"/>
          <w:rtl w:val="0"/>
        </w:rPr>
        <w:t>V – oficinas literárias;</w:t>
      </w:r>
    </w:p>
    <w:p w:rsidR="00000000" w:rsidRPr="00000000" w:rsidP="00000000" w14:paraId="00000072">
      <w:pPr>
        <w:spacing w:line="240" w:lineRule="auto"/>
        <w:jc w:val="both"/>
        <w:rPr>
          <w:rFonts w:ascii="Arial" w:eastAsia="Arial" w:hAnsi="Arial" w:cs="Arial"/>
          <w:sz w:val="24"/>
          <w:szCs w:val="24"/>
        </w:rPr>
      </w:pPr>
      <w:r w:rsidRPr="00000000">
        <w:rPr>
          <w:rFonts w:ascii="Arial" w:eastAsia="Arial" w:hAnsi="Arial" w:cs="Arial"/>
          <w:sz w:val="24"/>
          <w:szCs w:val="24"/>
          <w:rtl w:val="0"/>
        </w:rPr>
        <w:t>VI – saraus e encontros culturais;</w:t>
      </w:r>
    </w:p>
    <w:p w:rsidR="00000000" w:rsidRPr="00000000" w:rsidP="00000000" w14:paraId="00000073">
      <w:pPr>
        <w:spacing w:line="240" w:lineRule="auto"/>
        <w:jc w:val="both"/>
        <w:rPr>
          <w:rFonts w:ascii="Arial" w:eastAsia="Arial" w:hAnsi="Arial" w:cs="Arial"/>
          <w:sz w:val="24"/>
          <w:szCs w:val="24"/>
        </w:rPr>
      </w:pPr>
      <w:r w:rsidRPr="00000000">
        <w:rPr>
          <w:rFonts w:ascii="Arial" w:eastAsia="Arial" w:hAnsi="Arial" w:cs="Arial"/>
          <w:sz w:val="24"/>
          <w:szCs w:val="24"/>
          <w:rtl w:val="0"/>
        </w:rPr>
        <w:t>VII – feiras e campanhas de troca de livros;</w:t>
      </w:r>
    </w:p>
    <w:p w:rsidR="00000000" w:rsidRPr="00000000" w:rsidP="00000000" w14:paraId="00000074">
      <w:pPr>
        <w:spacing w:line="240" w:lineRule="auto"/>
        <w:jc w:val="both"/>
        <w:rPr>
          <w:rFonts w:ascii="Arial" w:eastAsia="Arial" w:hAnsi="Arial" w:cs="Arial"/>
          <w:sz w:val="24"/>
          <w:szCs w:val="24"/>
        </w:rPr>
      </w:pPr>
      <w:r w:rsidRPr="00000000">
        <w:rPr>
          <w:rFonts w:ascii="Arial" w:eastAsia="Arial" w:hAnsi="Arial" w:cs="Arial"/>
          <w:sz w:val="24"/>
          <w:szCs w:val="24"/>
          <w:rtl w:val="0"/>
        </w:rPr>
        <w:t>VIII – ações de leitura em espaços públicos;</w:t>
      </w:r>
    </w:p>
    <w:p w:rsidR="00000000" w:rsidRPr="00000000" w:rsidP="00000000" w14:paraId="00000075">
      <w:pPr>
        <w:spacing w:line="240" w:lineRule="auto"/>
        <w:jc w:val="both"/>
        <w:rPr>
          <w:rFonts w:ascii="Arial" w:eastAsia="Arial" w:hAnsi="Arial" w:cs="Arial"/>
          <w:sz w:val="24"/>
          <w:szCs w:val="24"/>
        </w:rPr>
      </w:pPr>
      <w:r w:rsidRPr="00000000">
        <w:rPr>
          <w:rFonts w:ascii="Arial" w:eastAsia="Arial" w:hAnsi="Arial" w:cs="Arial"/>
          <w:sz w:val="24"/>
          <w:szCs w:val="24"/>
          <w:rtl w:val="0"/>
        </w:rPr>
        <w:t>IX – atividades de incentivo à leitura para crianças e adolescentes;</w:t>
      </w:r>
    </w:p>
    <w:p w:rsidR="00000000" w:rsidRPr="00000000" w:rsidP="00000000" w14:paraId="00000076">
      <w:pPr>
        <w:spacing w:line="240" w:lineRule="auto"/>
        <w:jc w:val="both"/>
        <w:rPr>
          <w:rFonts w:ascii="Arial" w:eastAsia="Arial" w:hAnsi="Arial" w:cs="Arial"/>
          <w:sz w:val="24"/>
          <w:szCs w:val="24"/>
        </w:rPr>
      </w:pPr>
      <w:r w:rsidRPr="00000000">
        <w:rPr>
          <w:rFonts w:ascii="Arial" w:eastAsia="Arial" w:hAnsi="Arial" w:cs="Arial"/>
          <w:sz w:val="24"/>
          <w:szCs w:val="24"/>
          <w:rtl w:val="0"/>
        </w:rPr>
        <w:t>X – ações voltadas à população idosa;</w:t>
      </w:r>
    </w:p>
    <w:p w:rsidR="00000000" w:rsidRPr="00000000" w:rsidP="00000000" w14:paraId="00000077">
      <w:pPr>
        <w:spacing w:line="240" w:lineRule="auto"/>
        <w:jc w:val="both"/>
        <w:rPr>
          <w:rFonts w:ascii="Arial" w:eastAsia="Arial" w:hAnsi="Arial" w:cs="Arial"/>
          <w:sz w:val="24"/>
          <w:szCs w:val="24"/>
        </w:rPr>
      </w:pPr>
      <w:r w:rsidRPr="00000000">
        <w:rPr>
          <w:rFonts w:ascii="Arial" w:eastAsia="Arial" w:hAnsi="Arial" w:cs="Arial"/>
          <w:sz w:val="24"/>
          <w:szCs w:val="24"/>
          <w:rtl w:val="0"/>
        </w:rPr>
        <w:t>XI – ações de leitura acessível e inclusiva; e</w:t>
      </w:r>
    </w:p>
    <w:p w:rsidR="00000000" w:rsidRPr="00000000" w:rsidP="00000000" w14:paraId="00000078">
      <w:pPr>
        <w:spacing w:line="240" w:lineRule="auto"/>
        <w:jc w:val="both"/>
        <w:rPr>
          <w:rFonts w:ascii="Arial" w:eastAsia="Arial" w:hAnsi="Arial" w:cs="Arial"/>
          <w:sz w:val="24"/>
          <w:szCs w:val="24"/>
        </w:rPr>
      </w:pPr>
      <w:r w:rsidRPr="00000000">
        <w:rPr>
          <w:rFonts w:ascii="Arial" w:eastAsia="Arial" w:hAnsi="Arial" w:cs="Arial"/>
          <w:sz w:val="24"/>
          <w:szCs w:val="24"/>
          <w:rtl w:val="0"/>
        </w:rPr>
        <w:t>XII – outras atividades relacionadas ao livro, à leitura, à literatura e à formação de leitores.</w:t>
      </w:r>
    </w:p>
    <w:p w:rsidR="00000000" w:rsidRPr="00000000" w:rsidP="00000000" w14:paraId="00000079">
      <w:pPr>
        <w:spacing w:line="240" w:lineRule="auto"/>
        <w:jc w:val="both"/>
        <w:rPr>
          <w:rFonts w:ascii="Arial" w:eastAsia="Arial" w:hAnsi="Arial" w:cs="Arial"/>
          <w:sz w:val="24"/>
          <w:szCs w:val="24"/>
        </w:rPr>
      </w:pPr>
      <w:r w:rsidRPr="00000000">
        <w:rPr>
          <w:rFonts w:ascii="Arial" w:eastAsia="Arial" w:hAnsi="Arial" w:cs="Arial"/>
          <w:sz w:val="24"/>
          <w:szCs w:val="24"/>
          <w:rtl w:val="0"/>
        </w:rPr>
        <w:t>Art. 14º O Programa Municipal de Pontos de Leitura poderá incentivar a valorização da produção literária e cultural de Sumaré e da Região Metropolitana de Campinas, mediante a inclusão de autores, editoras, artistas, pesquisadores e produtores culturais locais nos acervos e nas atividades realizadas pelos espaços participantes.</w:t>
      </w:r>
    </w:p>
    <w:p w:rsidR="00000000" w:rsidRPr="00000000" w:rsidP="00000000" w14:paraId="0000007A">
      <w:pPr>
        <w:spacing w:line="240" w:lineRule="auto"/>
        <w:jc w:val="both"/>
        <w:rPr>
          <w:rFonts w:ascii="Arial" w:eastAsia="Arial" w:hAnsi="Arial" w:cs="Arial"/>
          <w:sz w:val="24"/>
          <w:szCs w:val="24"/>
        </w:rPr>
      </w:pPr>
      <w:r w:rsidRPr="00000000">
        <w:rPr>
          <w:rFonts w:ascii="Arial" w:eastAsia="Arial" w:hAnsi="Arial" w:cs="Arial"/>
          <w:sz w:val="24"/>
          <w:szCs w:val="24"/>
          <w:rtl w:val="0"/>
        </w:rPr>
        <w:t>Art. 15º O Poder Público poderá disponibilizar, de acordo com a disponibilidade orçamentária e financeira, materiais orientadores, modelos de identificação visual, diretrizes de organização dos acervos, instrumentos de registro e outros recursos destinados ao funcionamento e à integração dos Pontos de Leitura.</w:t>
      </w:r>
    </w:p>
    <w:p w:rsidR="00000000" w:rsidRPr="00000000" w:rsidP="00000000" w14:paraId="0000007B">
      <w:pPr>
        <w:spacing w:line="240" w:lineRule="auto"/>
        <w:jc w:val="both"/>
        <w:rPr>
          <w:rFonts w:ascii="Arial" w:eastAsia="Arial" w:hAnsi="Arial" w:cs="Arial"/>
          <w:sz w:val="24"/>
          <w:szCs w:val="24"/>
        </w:rPr>
      </w:pPr>
      <w:r w:rsidRPr="00000000">
        <w:rPr>
          <w:rFonts w:ascii="Arial" w:eastAsia="Arial" w:hAnsi="Arial" w:cs="Arial"/>
          <w:sz w:val="24"/>
          <w:szCs w:val="24"/>
          <w:rtl w:val="0"/>
        </w:rPr>
        <w:t>Art. 16º Poderão ser promovidas campanhas permanentes de arrecadação e doação de livros para composição e renovação dos acervos dos Pontos de Leitura.</w:t>
      </w:r>
    </w:p>
    <w:p w:rsidR="00000000" w:rsidRPr="00000000" w:rsidP="00000000" w14:paraId="0000007C">
      <w:pPr>
        <w:spacing w:line="240" w:lineRule="auto"/>
        <w:jc w:val="both"/>
        <w:rPr>
          <w:rFonts w:ascii="Arial" w:eastAsia="Arial" w:hAnsi="Arial" w:cs="Arial"/>
          <w:sz w:val="24"/>
          <w:szCs w:val="24"/>
        </w:rPr>
      </w:pPr>
      <w:r w:rsidRPr="00000000">
        <w:rPr>
          <w:rFonts w:ascii="Arial" w:eastAsia="Arial" w:hAnsi="Arial" w:cs="Arial"/>
          <w:sz w:val="24"/>
          <w:szCs w:val="24"/>
          <w:rtl w:val="0"/>
        </w:rPr>
        <w:t>§ 1º Os materiais recebidos poderão ser destinados aos Pontos de Leitura de acordo com critérios de pertinência, conservação, acessibilidade, diversidade e interesse da comunidade.</w:t>
      </w:r>
    </w:p>
    <w:p w:rsidR="00000000" w:rsidRPr="00000000" w:rsidP="00000000" w14:paraId="0000007D">
      <w:pPr>
        <w:spacing w:line="240" w:lineRule="auto"/>
        <w:jc w:val="both"/>
        <w:rPr>
          <w:rFonts w:ascii="Arial" w:eastAsia="Arial" w:hAnsi="Arial" w:cs="Arial"/>
          <w:sz w:val="24"/>
          <w:szCs w:val="24"/>
        </w:rPr>
      </w:pPr>
      <w:r w:rsidRPr="00000000">
        <w:rPr>
          <w:rFonts w:ascii="Arial" w:eastAsia="Arial" w:hAnsi="Arial" w:cs="Arial"/>
          <w:sz w:val="24"/>
          <w:szCs w:val="24"/>
          <w:rtl w:val="0"/>
        </w:rPr>
        <w:t>§ 2º Poderão ser estabelecidos mecanismos de redistribuição e circulação dos livros entre os diferentes Pontos de Leitura, de forma a ampliar o aproveitamento dos acervos disponíveis.</w:t>
      </w:r>
    </w:p>
    <w:p w:rsidR="00000000" w:rsidRPr="00000000" w:rsidP="00000000" w14:paraId="0000007E">
      <w:pPr>
        <w:spacing w:line="240" w:lineRule="auto"/>
        <w:jc w:val="both"/>
        <w:rPr>
          <w:rFonts w:ascii="Arial" w:eastAsia="Arial" w:hAnsi="Arial" w:cs="Arial"/>
          <w:sz w:val="24"/>
          <w:szCs w:val="24"/>
        </w:rPr>
      </w:pPr>
      <w:r w:rsidRPr="00000000">
        <w:rPr>
          <w:rFonts w:ascii="Arial" w:eastAsia="Arial" w:hAnsi="Arial" w:cs="Arial"/>
          <w:sz w:val="24"/>
          <w:szCs w:val="24"/>
          <w:rtl w:val="0"/>
        </w:rPr>
        <w:t>Art. 17º O Programa Municipal de Pontos de Leitura poderá articular-se com programas e políticas públicas municipais, estaduais e federais relacionados ao livro, à leitura, à literatura, às bibliotecas, à cultura, à educação e à democratização do acesso à informação.</w:t>
      </w:r>
    </w:p>
    <w:p w:rsidR="00000000" w:rsidRPr="00000000" w:rsidP="00000000" w14:paraId="0000007F">
      <w:pPr>
        <w:spacing w:line="240" w:lineRule="auto"/>
        <w:jc w:val="both"/>
        <w:rPr>
          <w:rFonts w:ascii="Arial" w:eastAsia="Arial" w:hAnsi="Arial" w:cs="Arial"/>
          <w:sz w:val="24"/>
          <w:szCs w:val="24"/>
        </w:rPr>
      </w:pPr>
      <w:r w:rsidRPr="00000000">
        <w:rPr>
          <w:rFonts w:ascii="Arial" w:eastAsia="Arial" w:hAnsi="Arial" w:cs="Arial"/>
          <w:sz w:val="24"/>
          <w:szCs w:val="24"/>
          <w:rtl w:val="0"/>
        </w:rPr>
        <w:t>Art. 18º A implementação desta Lei observará as disponibilidades orçamentárias e financeiras do Município e poderá utilizar recursos provenientes de dotações orçamentárias próprias, fundos municipais, transferências, convênios, termos de parceria, doações e outras fontes legalmente admitidas.</w:t>
      </w:r>
    </w:p>
    <w:p w:rsidR="00000000" w:rsidRPr="00000000" w:rsidP="00000000" w14:paraId="00000080">
      <w:pPr>
        <w:spacing w:line="240" w:lineRule="auto"/>
        <w:jc w:val="both"/>
        <w:rPr>
          <w:rFonts w:ascii="Arial" w:eastAsia="Arial" w:hAnsi="Arial" w:cs="Arial"/>
          <w:sz w:val="24"/>
          <w:szCs w:val="24"/>
        </w:rPr>
      </w:pPr>
      <w:r w:rsidRPr="00000000">
        <w:rPr>
          <w:rFonts w:ascii="Arial" w:eastAsia="Arial" w:hAnsi="Arial" w:cs="Arial"/>
          <w:sz w:val="24"/>
          <w:szCs w:val="24"/>
          <w:rtl w:val="0"/>
        </w:rPr>
        <w:t>Art. 19º Esta Lei entra em vigor na data de sua publicação.</w:t>
      </w:r>
    </w:p>
    <w:p w:rsidR="00000000" w:rsidRPr="00000000" w:rsidP="00000000" w14:paraId="00000081">
      <w:pPr>
        <w:spacing w:line="240" w:lineRule="auto"/>
        <w:ind w:firstLine="708"/>
        <w:jc w:val="right"/>
        <w:rPr>
          <w:rFonts w:ascii="Arial" w:eastAsia="Arial" w:hAnsi="Arial" w:cs="Arial"/>
          <w:sz w:val="24"/>
          <w:szCs w:val="24"/>
        </w:rPr>
      </w:pPr>
      <w:r w:rsidRPr="00000000">
        <w:rPr>
          <w:rFonts w:ascii="Arial" w:eastAsia="Arial" w:hAnsi="Arial" w:cs="Arial"/>
          <w:sz w:val="24"/>
          <w:szCs w:val="24"/>
          <w:rtl w:val="0"/>
        </w:rPr>
        <w:t>Sala das Sessões, 21 de setembro de 2026.</w:t>
      </w:r>
    </w:p>
    <w:p w:rsidR="00000000" w:rsidRPr="00000000" w:rsidP="00000000" w14:paraId="00000082">
      <w:pPr>
        <w:spacing w:line="360" w:lineRule="auto"/>
        <w:jc w:val="center"/>
        <w:rPr>
          <w:rFonts w:ascii="Arial" w:eastAsia="Arial" w:hAnsi="Arial" w:cs="Arial"/>
          <w:b/>
          <w:bCs/>
          <w:sz w:val="24"/>
          <w:szCs w:val="24"/>
        </w:rPr>
      </w:pPr>
      <w:r w:rsidRPr="00000000">
        <w:rPr>
          <w:rFonts w:ascii="Arial" w:eastAsia="Arial" w:hAnsi="Arial" w:cs="Arial"/>
        </w:rPr>
        <w:drawing>
          <wp:inline distT="0" distB="0" distL="0" distR="0">
            <wp:extent cx="2779868" cy="1206358"/>
            <wp:effectExtent l="0" t="0" r="0" b="0"/>
            <wp:docPr id="679616116" name="image1.jpg"/>
            <wp:cNvGraphicFramePr/>
            <a:graphic xmlns:a="http://schemas.openxmlformats.org/drawingml/2006/main">
              <a:graphicData uri="http://schemas.openxmlformats.org/drawingml/2006/picture">
                <pic:pic xmlns:pic="http://schemas.openxmlformats.org/drawingml/2006/picture">
                  <pic:nvPicPr>
                    <pic:cNvPr id="1528844715" name="image1.jpg"/>
                    <pic:cNvPicPr/>
                  </pic:nvPicPr>
                  <pic:blipFill>
                    <a:blip xmlns:r="http://schemas.openxmlformats.org/officeDocument/2006/relationships" r:embed="rId5"/>
                    <a:stretch>
                      <a:fillRect/>
                    </a:stretch>
                  </pic:blipFill>
                  <pic:spPr>
                    <a:xfrm>
                      <a:off x="0" y="0"/>
                      <a:ext cx="2779868" cy="1206358"/>
                    </a:xfrm>
                    <a:prstGeom prst="rect">
                      <a:avLst/>
                    </a:prstGeom>
                  </pic:spPr>
                </pic:pic>
              </a:graphicData>
            </a:graphic>
          </wp:inline>
        </w:drawing>
      </w:r>
      <w:r w:rsidRPr="00000000">
        <w:br w:type="page"/>
      </w:r>
    </w:p>
    <w:p w:rsidR="00000000" w:rsidRPr="00000000" w:rsidP="00000000" w14:paraId="00000083">
      <w:pPr>
        <w:spacing w:line="240" w:lineRule="auto"/>
        <w:jc w:val="center"/>
        <w:rPr>
          <w:rFonts w:ascii="Arial" w:eastAsia="Arial" w:hAnsi="Arial" w:cs="Arial"/>
          <w:b/>
          <w:bCs/>
          <w:sz w:val="24"/>
          <w:szCs w:val="24"/>
        </w:rPr>
      </w:pPr>
      <w:r w:rsidRPr="00000000">
        <w:rPr>
          <w:rFonts w:ascii="Arial" w:eastAsia="Arial" w:hAnsi="Arial" w:cs="Arial"/>
          <w:b/>
          <w:bCs/>
          <w:sz w:val="24"/>
          <w:szCs w:val="24"/>
          <w:rtl w:val="0"/>
        </w:rPr>
        <w:t>JUSTIFICATIVA</w:t>
      </w:r>
    </w:p>
    <w:p w:rsidR="00000000" w:rsidRPr="00000000" w:rsidP="00000000" w14:paraId="00000084">
      <w:pPr>
        <w:jc w:val="both"/>
        <w:rPr>
          <w:rFonts w:ascii="Arial" w:eastAsia="Arial" w:hAnsi="Arial" w:cs="Arial"/>
          <w:sz w:val="24"/>
          <w:szCs w:val="24"/>
        </w:rPr>
      </w:pPr>
      <w:r w:rsidRPr="00000000">
        <w:rPr>
          <w:rFonts w:ascii="Arial" w:eastAsia="Arial" w:hAnsi="Arial" w:cs="Arial"/>
          <w:sz w:val="24"/>
          <w:szCs w:val="24"/>
          <w:rtl w:val="0"/>
        </w:rPr>
        <w:tab/>
        <w:t>O presente Projeto de Lei tem por objetivo instituir, no Município de Sumaré, o Programa Municipal de Pontos de Leitura, criando mecanismos para ampliar e descentralizar o acesso da população aos livros, à leitura e à literatura.</w:t>
      </w:r>
    </w:p>
    <w:p w:rsidR="00000000" w:rsidRPr="00000000" w:rsidP="00000000" w14:paraId="00000085">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O acesso ao livro e à leitura constitui importante dimensão do direito à cultura, à educação, à informação e à participação social. A Política Nacional de Leitura e Escrita, instituída pela Lei Federal nº 13.696, de 12 de julho de 2018, estabelece como diretriz a universalização do direito de acesso ao livro, à leitura, à escrita, à literatura e às bibliotecas. A mesma legislação prevê a cooperação entre União, Estados e Municípios na implementação das políticas de leitura e escrita.</w:t>
      </w:r>
    </w:p>
    <w:p w:rsidR="00000000" w:rsidRPr="00000000" w:rsidP="00000000" w14:paraId="00000086">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Mais recentemente, o Plano Nacional do Livro e Leitura – PNLL 2026-2036, aprovado pela Portaria Interministerial MinC/MEC nº 12, de 23 de abril de 2026, passou a estabelecer como objetivo a conquista e construção de novos espaços de leitura, incluindo entre suas metas a ampliação de equipamentos culturais móveis de leitura, bibliotecas itinerantes, pontos de leitura e espaços comunitários de leitura. O Plano também prevê a ampliação de ações de incentivo à leitura em bibliotecas públicas, equipamentos culturais, pontos de leitura e territórios periféricos e do campo.</w:t>
      </w:r>
    </w:p>
    <w:p w:rsidR="00000000" w:rsidRPr="00000000" w:rsidP="00000000" w14:paraId="00000087">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Nesse contexto, o Município de Sumaré possui a oportunidade de desenvolver uma política pública territorializada, capaz de aproximar o livro de comunidades e espaços que nem sempre estão próximos dos equipamentos culturais tradicionais.</w:t>
      </w:r>
    </w:p>
    <w:p w:rsidR="00000000" w:rsidRPr="00000000" w:rsidP="00000000" w14:paraId="00000088">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A proposta não pretende substituir ou reduzir a importância das bibliotecas públicas municipais. Ao contrário, os Pontos de Leitura deverão atuar de maneira complementar à Rede Municipal de Bibliotecas, funcionando como espaços descentralizados de acesso ao livro e como portas de entrada para outras políticas culturais e de leitura.</w:t>
      </w:r>
    </w:p>
    <w:p w:rsidR="00000000" w:rsidRPr="00000000" w:rsidP="00000000" w14:paraId="00000089">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Atualmente, Sumaré conta com equipamentos como a Biblioteca Municipal “Professor Plínio Machado da Silva” e a Biblioteca do Professor e Infantil “Myrella Rossi Mobilon”, esta última com estrutura voltada especialmente ao público infantil e recursos de acessibilidade. A própria política municipal de bibliotecas encontra-se em processo de modernização e ampliação de seus serviços.</w:t>
      </w:r>
    </w:p>
    <w:p w:rsidR="00000000" w:rsidRPr="00000000" w:rsidP="00000000" w14:paraId="0000008A">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A criação de Pontos de Leitura permite ampliar essa política sem exigir, necessariamente, a construção de novos equipamentos culturais de grande porte. Um pequeno acervo organizado em uma unidade comunitária, centro cultural, equipamento de assistência social, escola, praça, parque ou outro espaço de convivência pode representar uma nova possibilidade concreta de acesso ao livro.</w:t>
      </w:r>
    </w:p>
    <w:p w:rsidR="00000000" w:rsidRPr="00000000" w:rsidP="00000000" w14:paraId="0000008B">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A política também reconhece e fortalece iniciativas que já surgem espontaneamente nos territórios. Associações comunitárias, coletivos culturais, instituições de ensino, organizações da sociedade civil e outros grupos frequentemente desenvolvem ações de troca, empréstimo e circulação de livros. O Poder Público pode potencializar essas experiências por meio de articulação, reconhecimento, formação, disponibilização de materiais e integração em rede.</w:t>
      </w:r>
    </w:p>
    <w:p w:rsidR="00000000" w:rsidRPr="00000000" w:rsidP="00000000" w14:paraId="0000008C">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Outro aspecto relevante é a possibilidade de utilização dos Pontos de Leitura como instrumentos de democratização territorial da cultura. A descentralização permite que a política de leitura alcance diferentes bairros e públicos, especialmente aqueles que enfrentam maiores dificuldades de deslocamento ou que possuem menor oferta de equipamentos culturais.</w:t>
      </w:r>
    </w:p>
    <w:p w:rsidR="00000000" w:rsidRPr="00000000" w:rsidP="00000000" w14:paraId="0000008D">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O Programa também prevê a observância de princípios de acessibilidade e inclusão, possibilitando a ampliação de acervos e atividades destinados a pessoas com deficiência e a pessoas com diferentes necessidades de leitura, comunicação e acesso à informação.</w:t>
      </w:r>
    </w:p>
    <w:p w:rsidR="00000000" w:rsidRPr="00000000" w:rsidP="00000000" w14:paraId="0000008E">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A iniciativa ainda poderá contribuir para a valorização da produção cultural local, incorporando autores, artistas, pesquisadores, editoras, coletivos e produtores culturais de Sumaré e da Região Metropolitana de Campinas às atividades e acervos dos Pontos de Leitura.</w:t>
      </w:r>
    </w:p>
    <w:p w:rsidR="00000000" w:rsidRPr="00000000" w:rsidP="00000000" w14:paraId="0000008F">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Assim, a proposta estabelece uma política pública de baixo grau de complexidade estrutural e com possibilidade de implantação gradual, permitindo ao Município aproveitar equipamentos, espaços e iniciativas já existentes para ampliar a presença da leitura no cotidiano da população.</w:t>
      </w:r>
    </w:p>
    <w:p w:rsidR="00000000" w:rsidRPr="00000000" w:rsidP="00000000" w14:paraId="00000090">
      <w:pPr>
        <w:spacing w:before="240" w:after="240"/>
        <w:ind w:firstLine="720"/>
        <w:jc w:val="both"/>
        <w:rPr>
          <w:rFonts w:ascii="Arial" w:eastAsia="Arial" w:hAnsi="Arial" w:cs="Arial"/>
          <w:sz w:val="24"/>
          <w:szCs w:val="24"/>
        </w:rPr>
      </w:pPr>
      <w:r w:rsidRPr="00000000">
        <w:rPr>
          <w:rFonts w:ascii="Arial" w:eastAsia="Arial" w:hAnsi="Arial" w:cs="Arial"/>
          <w:sz w:val="24"/>
          <w:szCs w:val="24"/>
          <w:rtl w:val="0"/>
        </w:rPr>
        <w:t>Diante da relevância cultural, educacional e social da matéria, contamos com o apoio dos Nobres Vereadores para a aprovação do presente Projeto de Lei.</w:t>
      </w:r>
    </w:p>
    <w:p w:rsidR="00000000" w:rsidRPr="00000000" w:rsidP="00000000" w14:paraId="00000091">
      <w:pPr>
        <w:jc w:val="both"/>
        <w:rPr>
          <w:rFonts w:ascii="Arial" w:eastAsia="Arial" w:hAnsi="Arial" w:cs="Arial"/>
          <w:sz w:val="24"/>
          <w:szCs w:val="24"/>
        </w:rPr>
      </w:pPr>
    </w:p>
    <w:p w:rsidR="00000000" w:rsidRPr="00000000" w:rsidP="00000000" w14:paraId="00000092">
      <w:pPr>
        <w:spacing w:line="240" w:lineRule="auto"/>
        <w:ind w:firstLine="708"/>
        <w:jc w:val="right"/>
        <w:rPr>
          <w:rFonts w:ascii="Arial" w:eastAsia="Arial" w:hAnsi="Arial" w:cs="Arial"/>
          <w:sz w:val="24"/>
          <w:szCs w:val="24"/>
        </w:rPr>
      </w:pPr>
      <w:r w:rsidRPr="00000000">
        <w:rPr>
          <w:rFonts w:ascii="Arial" w:eastAsia="Arial" w:hAnsi="Arial" w:cs="Arial"/>
          <w:sz w:val="24"/>
          <w:szCs w:val="24"/>
          <w:rtl w:val="0"/>
        </w:rPr>
        <w:t>Sala das Sessões, 21 de setembro de 2026.</w:t>
      </w:r>
    </w:p>
    <w:p w:rsidR="00000000" w:rsidRPr="00000000" w:rsidP="00000000" w14:paraId="00000093">
      <w:pPr>
        <w:spacing w:line="240" w:lineRule="auto"/>
        <w:ind w:firstLine="708"/>
        <w:jc w:val="right"/>
        <w:rPr>
          <w:rFonts w:ascii="Arial" w:eastAsia="Arial" w:hAnsi="Arial" w:cs="Arial"/>
          <w:sz w:val="24"/>
          <w:szCs w:val="24"/>
        </w:rPr>
      </w:pPr>
    </w:p>
    <w:p w:rsidR="00000000" w:rsidRPr="00000000" w:rsidP="00000000" w14:paraId="00000094">
      <w:pPr>
        <w:spacing w:line="276" w:lineRule="auto"/>
        <w:jc w:val="center"/>
        <w:rPr>
          <w:rFonts w:ascii="Arial" w:eastAsia="Arial" w:hAnsi="Arial" w:cs="Arial"/>
          <w:sz w:val="24"/>
          <w:szCs w:val="24"/>
        </w:rPr>
      </w:pPr>
      <w:r w:rsidRPr="00000000">
        <w:rPr>
          <w:rFonts w:ascii="Arial" w:eastAsia="Arial" w:hAnsi="Arial" w:cs="Arial"/>
        </w:rPr>
        <w:drawing>
          <wp:inline distT="0" distB="0" distL="0" distR="0">
            <wp:extent cx="3017993" cy="1305078"/>
            <wp:effectExtent l="0" t="0" r="0" b="0"/>
            <wp:docPr id="1012505134" name="image1.jpg"/>
            <wp:cNvGraphicFramePr/>
            <a:graphic xmlns:a="http://schemas.openxmlformats.org/drawingml/2006/main">
              <a:graphicData uri="http://schemas.openxmlformats.org/drawingml/2006/picture">
                <pic:pic xmlns:pic="http://schemas.openxmlformats.org/drawingml/2006/picture">
                  <pic:nvPicPr>
                    <pic:cNvPr id="705054648" name="image1.jpg"/>
                    <pic:cNvPicPr/>
                  </pic:nvPicPr>
                  <pic:blipFill>
                    <a:blip xmlns:r="http://schemas.openxmlformats.org/officeDocument/2006/relationships" r:embed="rId5"/>
                    <a:stretch>
                      <a:fillRect/>
                    </a:stretch>
                  </pic:blipFill>
                  <pic:spPr>
                    <a:xfrm>
                      <a:off x="0" y="0"/>
                      <a:ext cx="3017993" cy="1305078"/>
                    </a:xfrm>
                    <a:prstGeom prst="rect">
                      <a:avLst/>
                    </a:prstGeom>
                  </pic:spPr>
                </pic:pic>
              </a:graphicData>
            </a:graphic>
          </wp:inline>
        </w:drawing>
      </w:r>
    </w:p>
    <w:sectPr>
      <w:headerReference w:type="default" r:id="rId6"/>
      <w:footerReference w:type="even" r:id="rId7"/>
      <w:footerReference w:type="default" r:id="rId8"/>
      <w:footerReference w:type="first" r:id="rId9"/>
      <w:pgSz w:w="11906" w:h="16838" w:orient="portrait"/>
      <w:pgMar w:top="1417" w:right="1274" w:bottom="1417" w:left="1418" w:header="708" w:footer="708"/>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0"/>
    <w:family w:val="auto"/>
    <w:pitch w:val="default"/>
    <w:sig w:usb0="00000000" w:usb1="00000000" w:usb2="00000000" w:usb3="00000000" w:csb0="00000001" w:csb1="00000000"/>
    <w:embedRegular r:id="rId1" w:fontKey="{FF717B82-5EC0-4C71-9D88-260667B7FA38}"/>
  </w:font>
  <w:font w:name="Times New Roman">
    <w:charset w:val="00"/>
    <w:family w:val="auto"/>
    <w:pitch w:val="default"/>
  </w:font>
  <w:font w:name="Georgia">
    <w:charset w:val="00"/>
    <w:family w:val="auto"/>
    <w:pitch w:val="default"/>
    <w:embedRegular r:id="rId2" w:fontKey="{36A95696-2F77-4482-84C4-CAEBDA4EE351}"/>
  </w:font>
  <w:font w:name="Arial">
    <w:charset w:val="00"/>
    <w:family w:val="auto"/>
    <w:pitch w:val="default"/>
  </w:font>
  <w:font w:name="Cambria">
    <w:charset w:val="00"/>
    <w:family w:val="auto"/>
    <w:pitch w:val="default"/>
    <w:embedRegular r:id="rId3" w:fontKey="{8147DAE2-3889-424E-81D2-49CF7EE2A3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99">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96">
    <w:bookmarkStart w:id="0" w:name="_heading=h.gjdgxs" w:colFirst="0" w:colLast="0"/>
    <w:bookmarkEnd w:id="0"/>
    <w:r w:rsidRPr="00000000">
      <mc:AlternateContent>
        <mc:Choice Requires="wps">
          <w:drawing>
            <wp:anchor distT="0" distB="0" distL="114300" distR="114300" simplePos="0" relativeHeight="251661312" behindDoc="0" locked="0" layoutInCell="1" allowOverlap="1">
              <wp:simplePos x="0" y="0"/>
              <wp:positionH relativeFrom="column">
                <wp:posOffset>-368290</wp:posOffset>
              </wp:positionH>
              <wp:positionV relativeFrom="paragraph">
                <wp:posOffset>88900</wp:posOffset>
              </wp:positionV>
              <wp:extent cx="63500" cy="63500"/>
              <wp:effectExtent l="0" t="0" r="0" b="0"/>
              <wp:wrapNone/>
              <wp:docPr id="2062119429" name=""/>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0"/>
                        <a:headEnd w="sm" len="sm"/>
                        <a:tailEnd w="sm" len="sm"/>
                      </a:ln>
                    </wps:spPr>
                    <wps:bodyPr spcFirstLastPara="1" wrap="square" lIns="91425" tIns="91425" rIns="91425" bIns="91425" anchor="ctr" anchorCtr="0"/>
                  </wps:wsp>
                </a:graphicData>
              </a:graphic>
            </wp:anchor>
          </w:drawing>
        </mc:Choice>
        <mc:Fallback>
          <w:drawing>
            <wp:anchor distT="0" distB="0" distL="114300" distR="114300" simplePos="0" relativeHeight="251662336" behindDoc="0" locked="0" layoutInCell="1" allowOverlap="1">
              <wp:simplePos x="0" y="0"/>
              <wp:positionH relativeFrom="column">
                <wp:posOffset>-368290</wp:posOffset>
              </wp:positionH>
              <wp:positionV relativeFrom="paragraph">
                <wp:posOffset>88900</wp:posOffset>
              </wp:positionV>
              <wp:extent cx="63500" cy="63500"/>
              <wp:effectExtent l="0" t="0" r="0" b="0"/>
              <wp:wrapNone/>
              <wp:docPr id="1830078319" name="image3.png"/>
              <wp:cNvGraphicFramePr/>
              <a:graphic xmlns:a="http://schemas.openxmlformats.org/drawingml/2006/main">
                <a:graphicData uri="http://schemas.openxmlformats.org/drawingml/2006/picture">
                  <pic:pic xmlns:pic="http://schemas.openxmlformats.org/drawingml/2006/picture">
                    <pic:nvPicPr>
                      <pic:cNvPr id="1608104218" name="image3.png"/>
                      <pic:cNvPicPr/>
                    </pic:nvPicPr>
                    <pic:blipFill>
                      <a:blip xmlns:r="http://schemas.openxmlformats.org/officeDocument/2006/relationships" r:embed="rId1"/>
                      <a:stretch>
                        <a:fillRect/>
                      </a:stretch>
                    </pic:blipFill>
                    <pic:spPr>
                      <a:xfrm>
                        <a:off x="0" y="0"/>
                        <a:ext cx="63500" cy="63500"/>
                      </a:xfrm>
                      <a:prstGeom prst="rect">
                        <a:avLst/>
                      </a:prstGeom>
                    </pic:spPr>
                  </pic:pic>
                </a:graphicData>
              </a:graphic>
            </wp:anchor>
          </w:drawing>
        </mc:Fallback>
      </mc:AlternateContent>
    </w:r>
  </w:p>
  <w:p w:rsidR="00000000" w:rsidRPr="00000000" w:rsidP="00000000" w14:paraId="00000097">
    <w:r w:rsidRPr="00000000">
      <w:rPr>
        <w:rtl w:val="0"/>
      </w:rP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98">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95">
    <w:r w:rsidRPr="00000000">
      <w:drawing>
        <wp:inline distT="0" distB="0" distL="0" distR="0">
          <wp:extent cx="1526058" cy="534121"/>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1881295953" name="image2.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sidRPr="00000000">
      <mc:AlternateContent>
        <mc:Choice Requires="wpg">
          <w:drawing>
            <wp:anchor distT="0" distB="0" distL="0" distR="0" simplePos="0" relativeHeight="251658240" behindDoc="1" locked="0" layoutInCell="1" allowOverlap="1">
              <wp:simplePos x="0" y="0"/>
              <wp:positionH relativeFrom="column">
                <wp:posOffset>-825492</wp:posOffset>
              </wp:positionH>
              <wp:positionV relativeFrom="paragraph">
                <wp:posOffset>0</wp:posOffset>
              </wp:positionV>
              <wp:extent cx="7557712" cy="10270358"/>
              <wp:effectExtent l="0" t="0" r="0" b="0"/>
              <wp:wrapNone/>
              <wp:docPr id="17" name=""/>
              <wp:cNvGraphicFramePr/>
              <a:graphic xmlns:a="http://schemas.openxmlformats.org/drawingml/2006/main">
                <a:graphicData uri="http://schemas.microsoft.com/office/word/2010/wordprocessingGroup">
                  <wpg:wgp xmlns:wpg="http://schemas.microsoft.com/office/word/2010/wordprocessingGroup">
                    <wpg:cNvGrpSpPr/>
                    <wpg:grpSpPr>
                      <a:xfrm>
                        <a:off x="1567125" y="0"/>
                        <a:ext cx="7557712" cy="10270358"/>
                        <a:chOff x="1567125" y="0"/>
                        <a:chExt cx="7557750" cy="7560000"/>
                      </a:xfrm>
                    </wpg:grpSpPr>
                    <wpg:grpSp>
                      <wpg:cNvGrpSpPr/>
                      <wpg:grpSpPr>
                        <a:xfrm>
                          <a:off x="1567144" y="0"/>
                          <a:ext cx="7557712" cy="7560000"/>
                          <a:chOff x="1567125" y="0"/>
                          <a:chExt cx="7557750" cy="7560000"/>
                        </a:xfrm>
                      </wpg:grpSpPr>
                      <wps:wsp xmlns:wps="http://schemas.microsoft.com/office/word/2010/wordprocessingShape">
                        <wps:cNvPr id="4" name="Shape 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6" name="Shape 6"/>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8" name="Shape 8"/>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0" name="Shape 10"/>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2" name="Shape 12"/>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4" name="Shape 1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6" name="Shape 16"/>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18" name="Shape 18"/>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20" name="Shape 20"/>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0" y="0"/>
                                            <a:chExt cx="7557712" cy="10270358"/>
                                          </a:xfrm>
                                        </wpg:grpSpPr>
                                        <wps:wsp xmlns:wps="http://schemas.microsoft.com/office/word/2010/wordprocessingShape">
                                          <wps:cNvPr id="22" name="Shape 22"/>
                                          <wps:cNvSpPr/>
                                          <wps:spPr>
                                            <a:xfrm>
                                              <a:off x="0" y="0"/>
                                              <a:ext cx="7557700" cy="1027035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s:wsp xmlns:wps="http://schemas.microsoft.com/office/word/2010/wordprocessingShape">
                                          <wps:cNvPr id="23" name="Shape 23"/>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24" name="Shape 24"/>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25" name="Shape 25"/>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grpSp>
                                  </wpg:grpSp>
                                </wpg:grpSp>
                              </wpg:grpSp>
                            </wpg:grpSp>
                          </wpg:grpSp>
                        </wpg:grpSp>
                      </wpg:grpSp>
                    </wpg:grpSp>
                  </wpg:wgp>
                </a:graphicData>
              </a:graphic>
            </wp:anchor>
          </w:drawing>
        </mc:Choice>
        <mc:Fallback>
          <w:drawing>
            <wp:anchor distT="0" distB="0" distL="0" distR="0" simplePos="0" relativeHeight="251660288" behindDoc="1" locked="0" layoutInCell="1" allowOverlap="1">
              <wp:simplePos x="0" y="0"/>
              <wp:positionH relativeFrom="column">
                <wp:posOffset>-825492</wp:posOffset>
              </wp:positionH>
              <wp:positionV relativeFrom="paragraph">
                <wp:posOffset>0</wp:posOffset>
              </wp:positionV>
              <wp:extent cx="7557712" cy="10270358"/>
              <wp:effectExtent l="0" t="0" r="0" b="0"/>
              <wp:wrapNone/>
              <wp:docPr id="243679513" name="image4.png"/>
              <wp:cNvGraphicFramePr/>
              <a:graphic xmlns:a="http://schemas.openxmlformats.org/drawingml/2006/main">
                <a:graphicData uri="http://schemas.openxmlformats.org/drawingml/2006/picture">
                  <pic:pic xmlns:pic="http://schemas.openxmlformats.org/drawingml/2006/picture">
                    <pic:nvPicPr>
                      <pic:cNvPr id="198213428" name="image4.png"/>
                      <pic:cNvPicPr/>
                    </pic:nvPicPr>
                    <pic:blipFill>
                      <a:blip xmlns:r="http://schemas.openxmlformats.org/officeDocument/2006/relationships" r:embed="rId2"/>
                      <a:stretch>
                        <a:fillRect/>
                      </a:stretch>
                    </pic:blipFill>
                    <pic:spPr>
                      <a:xfrm>
                        <a:off x="0" y="0"/>
                        <a:ext cx="7557712" cy="10270358"/>
                      </a:xfrm>
                      <a:prstGeom prst="rect">
                        <a:avLst/>
                      </a:prstGeom>
                    </pic:spPr>
                  </pic:pic>
                </a:graphicData>
              </a:graphic>
            </wp:anchor>
          </w:drawing>
        </mc:Fallback>
      </mc:AlternateContent>
    </w:r>
    <w:r w:rsidRPr="00000000">
      <w:drawing>
        <wp:anchor simplePos="0" relativeHeight="251659264" behindDoc="0" locked="0" layoutInCell="1" allowOverlap="1">
          <wp:simplePos x="0" y="0"/>
          <wp:positionH relativeFrom="rightMargin">
            <wp:align>center</wp:align>
          </wp:positionH>
          <wp:positionV relativeFrom="page">
            <wp:align>center</wp:align>
          </wp:positionV>
          <wp:extent cx="381000" cy="6724650"/>
          <wp:wrapNone/>
          <wp:docPr id="100031"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
                  <pic:cNvPicPr>
                    <a:picLocks noChangeAspect="1"/>
                  </pic:cNvPicPr>
                </pic:nvPicPr>
                <pic:blipFill>
                  <a:blip xmlns:r="http://schemas.openxmlformats.org/officeDocument/2006/relationships" r:embed="rId3"/>
                  <a:stretch>
                    <a:fillRect/>
                  </a:stretch>
                </pic:blipFill>
                <pic:spPr>
                  <a:xfrm>
                    <a:off x="0" y="0"/>
                    <a:ext cx="381000" cy="67246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2"/>
    <w:next w:val="normal2"/>
    <w:pPr>
      <w:keepNext/>
      <w:keepLines/>
      <w:spacing w:before="480" w:after="120"/>
      <w:outlineLvl w:val="0"/>
    </w:pPr>
    <w:rPr>
      <w:b/>
      <w:bCs/>
      <w:sz w:val="48"/>
      <w:szCs w:val="48"/>
    </w:rPr>
  </w:style>
  <w:style w:type="paragraph" w:styleId="Heading2">
    <w:name w:val="heading 2"/>
    <w:basedOn w:val="normal2"/>
    <w:next w:val="normal2"/>
    <w:pPr>
      <w:keepNext/>
      <w:keepLines/>
      <w:spacing w:before="360" w:after="80"/>
      <w:outlineLvl w:val="1"/>
    </w:pPr>
    <w:rPr>
      <w:b/>
      <w:bCs/>
      <w:sz w:val="36"/>
      <w:szCs w:val="36"/>
    </w:rPr>
  </w:style>
  <w:style w:type="paragraph" w:styleId="Heading3">
    <w:name w:val="heading 3"/>
    <w:basedOn w:val="normal2"/>
    <w:next w:val="normal2"/>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2"/>
    <w:next w:val="normal2"/>
    <w:pPr>
      <w:keepNext/>
      <w:keepLines/>
      <w:spacing w:before="240" w:after="40"/>
      <w:outlineLvl w:val="3"/>
    </w:pPr>
    <w:rPr>
      <w:b/>
      <w:bCs/>
      <w:sz w:val="24"/>
      <w:szCs w:val="24"/>
    </w:rPr>
  </w:style>
  <w:style w:type="paragraph" w:styleId="Heading5">
    <w:name w:val="heading 5"/>
    <w:basedOn w:val="normal2"/>
    <w:next w:val="normal2"/>
    <w:pPr>
      <w:keepNext/>
      <w:keepLines/>
      <w:spacing w:before="220" w:after="40"/>
      <w:outlineLvl w:val="4"/>
    </w:pPr>
    <w:rPr>
      <w:b/>
      <w:bCs/>
    </w:rPr>
  </w:style>
  <w:style w:type="paragraph" w:styleId="Heading6">
    <w:name w:val="heading 6"/>
    <w:basedOn w:val="normal2"/>
    <w:next w:val="normal2"/>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2"/>
    <w:next w:val="normal2"/>
    <w:pPr>
      <w:keepNext/>
      <w:keepLines/>
      <w:spacing w:before="480" w:after="120"/>
    </w:pPr>
    <w:rPr>
      <w:b/>
      <w:bCs/>
      <w:sz w:val="72"/>
      <w:szCs w:val="72"/>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table" w:customStyle="1" w:styleId="TableNormal1">
    <w:name w:val="TableNormal_1"/>
    <w:tblPr>
      <w:tblCellMar>
        <w:top w:w="100" w:type="dxa"/>
        <w:left w:w="100" w:type="dxa"/>
        <w:bottom w:w="100" w:type="dxa"/>
        <w:right w:w="100" w:type="dxa"/>
      </w:tblCellMar>
    </w:tblPr>
  </w:style>
  <w:style w:type="paragraph" w:customStyle="1" w:styleId="normal1">
    <w:name w:val="normal_1"/>
  </w:style>
  <w:style w:type="table" w:customStyle="1" w:styleId="TableNormal2">
    <w:name w:val="TableNormal_2"/>
    <w:tblPr>
      <w:tblCellMar>
        <w:top w:w="100" w:type="dxa"/>
        <w:left w:w="100" w:type="dxa"/>
        <w:bottom w:w="100" w:type="dxa"/>
        <w:right w:w="100" w:type="dxa"/>
      </w:tblCellMar>
    </w:tblPr>
  </w:style>
  <w:style w:type="paragraph" w:customStyle="1" w:styleId="normal2">
    <w:name w:val="normal_2"/>
  </w:style>
  <w:style w:type="paragraph" w:styleId="Subtitle">
    <w:name w:val="Subtitle"/>
    <w:basedOn w:val="normal2"/>
    <w:next w:val="normal2"/>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6C1BxmEbNVfQ032Dkxf8TgwoBw==">CgMxLjAyCGguZ2pkZ3hzOAByITFuSkxSWXVTQWx1NmJ4c3dWb0libm5vNnlrdm9pVi1LbQ==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