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4C2038" w:rsidRPr="004C2038" w:rsidP="004C2038" w14:paraId="5A1BF8ED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4C2038">
        <w:rPr>
          <w:rFonts w:ascii="Tahoma" w:hAnsi="Tahoma" w:cs="Tahoma"/>
          <w:b/>
          <w:bCs/>
          <w:sz w:val="24"/>
          <w:szCs w:val="24"/>
        </w:rPr>
        <w:t>Cata-treco na Rua Alaíde Souza de Oliveira, nº 532, no bairro Parque Bandeirantes II.</w:t>
      </w:r>
    </w:p>
    <w:p w:rsidR="004C2038" w:rsidRPr="004C2038" w:rsidP="004C2038" w14:paraId="7E298658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4C2038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65E48F0D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5429D6">
        <w:rPr>
          <w:rFonts w:ascii="Tahoma" w:hAnsi="Tahoma" w:cs="Tahoma"/>
          <w:sz w:val="24"/>
          <w:szCs w:val="24"/>
        </w:rPr>
        <w:t>29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1370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55D6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32E6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2038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29D6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773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2026-09-28T15:22:00Z</dcterms:created>
  <dcterms:modified xsi:type="dcterms:W3CDTF">2026-09-28T15:22:00Z</dcterms:modified>
</cp:coreProperties>
</file>