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B034F" w:rsidRPr="002B034F" w:rsidP="002B034F" w14:paraId="5DA12902" w14:textId="24747EB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8E7931" w:rsidR="008E7931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</w:t>
      </w:r>
      <w:r w:rsidRPr="002B034F">
        <w:rPr>
          <w:rFonts w:ascii="Times New Roman" w:eastAsia="Arial" w:hAnsi="Times New Roman" w:cs="Times New Roman"/>
          <w:b/>
          <w:bCs/>
          <w:sz w:val="24"/>
          <w:szCs w:val="24"/>
        </w:rPr>
        <w:t>R. Alfredo Marquês Pereira, 6</w:t>
      </w:r>
      <w:r w:rsidR="00793CDF">
        <w:rPr>
          <w:rFonts w:ascii="Times New Roman" w:eastAsia="Arial" w:hAnsi="Times New Roman" w:cs="Times New Roman"/>
          <w:b/>
          <w:bCs/>
          <w:sz w:val="24"/>
          <w:szCs w:val="24"/>
        </w:rPr>
        <w:t>1</w:t>
      </w:r>
      <w:r w:rsidRPr="002B034F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- Parque Franceschini</w:t>
      </w:r>
    </w:p>
    <w:p w:rsidR="00BF13A9" w:rsidRPr="004D01BB" w:rsidP="00062BE7" w14:paraId="4337FBBB" w14:textId="0AAF168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2B034F" w:rsidRPr="002B034F" w:rsidP="002B034F" w14:paraId="74B0B4DD" w14:textId="76D19A1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da remoção de entulho e materiais inservíveis na </w:t>
      </w:r>
      <w:r w:rsidRPr="002B034F">
        <w:rPr>
          <w:rFonts w:ascii="Times New Roman" w:eastAsia="Arial" w:hAnsi="Times New Roman" w:cs="Times New Roman"/>
          <w:sz w:val="24"/>
          <w:szCs w:val="24"/>
        </w:rPr>
        <w:t>R. Alfredo Marquês Pereira, 6</w:t>
      </w:r>
      <w:r w:rsidR="00793CDF">
        <w:rPr>
          <w:rFonts w:ascii="Times New Roman" w:eastAsia="Arial" w:hAnsi="Times New Roman" w:cs="Times New Roman"/>
          <w:sz w:val="24"/>
          <w:szCs w:val="24"/>
        </w:rPr>
        <w:t>1</w:t>
      </w:r>
      <w:r w:rsidRPr="002B034F">
        <w:rPr>
          <w:rFonts w:ascii="Times New Roman" w:eastAsia="Arial" w:hAnsi="Times New Roman" w:cs="Times New Roman"/>
          <w:sz w:val="24"/>
          <w:szCs w:val="24"/>
        </w:rPr>
        <w:t xml:space="preserve"> - Parque Franceschini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8E7931" w:rsidRPr="008E7931" w:rsidP="008E7931" w14:paraId="1216E23C" w14:textId="3A1771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de construção e demais materiais inservíveis no local, situação que compromete a limpeza urbana, prejudica a segurança dos moradores e favorece a proliferação de insetos, animais peçonhentos e outros vetores de doenças. A remoção desses materiais contribuirá para a preservação da saúde pública, melhoria do aspecto urbano e promoção de um ambiente mais limpo, organizado e seguro para a comunidade.</w:t>
      </w:r>
    </w:p>
    <w:p w:rsidR="008E7931" w:rsidRPr="008E7931" w:rsidP="008E7931" w14:paraId="00E3BF7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82780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4C3DC73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A797C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364" w:rsidP="00E72670" w14:paraId="316F0D5A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364" w:rsidP="00E72670" w14:paraId="5CAE0787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E72670" w14:paraId="11F5206E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0874487B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793CDF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288030"/>
            <wp:effectExtent l="0" t="0" r="2540" b="7620"/>
            <wp:docPr id="20736949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279129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086E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30510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B7A49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97C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1032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2026-09-28T13:12:00Z</dcterms:created>
  <dcterms:modified xsi:type="dcterms:W3CDTF">2026-09-28T13:51:00Z</dcterms:modified>
</cp:coreProperties>
</file>