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83EDC" w:rsidP="003E5F3F" w14:paraId="6EE1B9AB" w14:textId="77777777">
      <w:pPr>
        <w:ind w:firstLine="851"/>
        <w:jc w:val="right"/>
        <w:rPr>
          <w:rFonts w:ascii="Arial" w:hAnsi="Arial" w:cs="Arial"/>
          <w:sz w:val="24"/>
          <w:szCs w:val="24"/>
        </w:rPr>
      </w:pPr>
      <w:r w:rsidRPr="003E5F3F">
        <w:rPr>
          <w:rFonts w:ascii="Arial" w:hAnsi="Arial" w:cs="Arial"/>
          <w:sz w:val="24"/>
          <w:szCs w:val="24"/>
        </w:rPr>
        <w:t>PROJETO DE LEI Nº ____/2026</w:t>
      </w:r>
    </w:p>
    <w:p w:rsidR="003E5F3F" w:rsidRPr="003E5F3F" w:rsidP="003E5F3F" w14:paraId="6C18A4CD" w14:textId="77777777">
      <w:pPr>
        <w:ind w:firstLine="851"/>
        <w:jc w:val="right"/>
        <w:rPr>
          <w:rFonts w:ascii="Arial" w:hAnsi="Arial" w:cs="Arial"/>
          <w:sz w:val="24"/>
          <w:szCs w:val="24"/>
        </w:rPr>
      </w:pPr>
    </w:p>
    <w:p w:rsidR="00383EDC" w:rsidRPr="00383EDC" w:rsidP="003E5F3F" w14:paraId="649CC836" w14:textId="2F020C01">
      <w:pPr>
        <w:ind w:left="4248"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b/>
          <w:bCs/>
          <w:sz w:val="24"/>
          <w:szCs w:val="24"/>
        </w:rPr>
        <w:t>“</w:t>
      </w:r>
      <w:r w:rsidR="009C1D1F">
        <w:rPr>
          <w:rFonts w:ascii="Arial" w:hAnsi="Arial" w:cs="Arial"/>
          <w:b/>
          <w:bCs/>
          <w:sz w:val="24"/>
          <w:szCs w:val="24"/>
        </w:rPr>
        <w:t>I</w:t>
      </w:r>
      <w:r w:rsidRPr="00383EDC">
        <w:rPr>
          <w:rFonts w:ascii="Arial" w:hAnsi="Arial" w:cs="Arial"/>
          <w:b/>
          <w:bCs/>
          <w:sz w:val="24"/>
          <w:szCs w:val="24"/>
        </w:rPr>
        <w:t>nclui no Calendário Oficial de Eventos do Município de Sumaré as Festividades da Paróquia São Miguel Arcanjo e dá outras providências.”</w:t>
      </w:r>
    </w:p>
    <w:p w:rsidR="009509E3" w:rsidP="00383EDC" w14:paraId="19447E26" w14:textId="77777777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</w:p>
    <w:p w:rsidR="00383EDC" w:rsidP="00383EDC" w14:paraId="0440EF2E" w14:textId="6E3C4589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 PREFEITO DO MUNICÍPIO DE SUMARÉ</w:t>
      </w:r>
    </w:p>
    <w:p w:rsidR="009509E3" w:rsidP="00383EDC" w14:paraId="19F24865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3E5F3F" w:rsidRPr="003E5F3F" w:rsidP="00383EDC" w14:paraId="444DB56B" w14:textId="73A84880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Faço saber que a Câmara Municipal aprovou e eu sanciono e promulgo a seguinte lei:</w:t>
      </w:r>
    </w:p>
    <w:p w:rsidR="00383EDC" w:rsidRPr="00383EDC" w:rsidP="00383EDC" w14:paraId="4A246AE3" w14:textId="7C935AB3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b/>
          <w:bCs/>
          <w:sz w:val="24"/>
          <w:szCs w:val="24"/>
        </w:rPr>
        <w:t>Art. 1º</w:t>
      </w:r>
      <w:r w:rsidRPr="00383EDC">
        <w:rPr>
          <w:rFonts w:ascii="Arial" w:hAnsi="Arial" w:cs="Arial"/>
          <w:sz w:val="24"/>
          <w:szCs w:val="24"/>
        </w:rPr>
        <w:t xml:space="preserve"> Ficam incluídas no Calendário Oficial de Eventos do Município de Sumaré as </w:t>
      </w:r>
      <w:r w:rsidRPr="00383EDC">
        <w:rPr>
          <w:rFonts w:ascii="Arial" w:hAnsi="Arial" w:cs="Arial"/>
          <w:b/>
          <w:bCs/>
          <w:sz w:val="24"/>
          <w:szCs w:val="24"/>
        </w:rPr>
        <w:t>Festividades da Paróquia São Miguel Arcanjo</w:t>
      </w:r>
      <w:r w:rsidRPr="00383EDC">
        <w:rPr>
          <w:rFonts w:ascii="Arial" w:hAnsi="Arial" w:cs="Arial"/>
          <w:sz w:val="24"/>
          <w:szCs w:val="24"/>
        </w:rPr>
        <w:t>, a serem realizadas anualmente</w:t>
      </w:r>
      <w:r w:rsidR="003E5F3F">
        <w:rPr>
          <w:rFonts w:ascii="Arial" w:hAnsi="Arial" w:cs="Arial"/>
          <w:sz w:val="24"/>
          <w:szCs w:val="24"/>
        </w:rPr>
        <w:t xml:space="preserve">, no mês de </w:t>
      </w:r>
      <w:r w:rsidR="003E5F3F">
        <w:rPr>
          <w:rFonts w:ascii="Arial" w:hAnsi="Arial" w:cs="Arial"/>
          <w:sz w:val="24"/>
          <w:szCs w:val="24"/>
        </w:rPr>
        <w:t>Setembro</w:t>
      </w:r>
      <w:r w:rsidR="003E5F3F">
        <w:rPr>
          <w:rFonts w:ascii="Arial" w:hAnsi="Arial" w:cs="Arial"/>
          <w:sz w:val="24"/>
          <w:szCs w:val="24"/>
        </w:rPr>
        <w:t>,</w:t>
      </w:r>
      <w:r w:rsidRPr="00383EDC">
        <w:rPr>
          <w:rFonts w:ascii="Arial" w:hAnsi="Arial" w:cs="Arial"/>
          <w:sz w:val="24"/>
          <w:szCs w:val="24"/>
        </w:rPr>
        <w:t xml:space="preserve"> no Município</w:t>
      </w:r>
      <w:r w:rsidR="003E5F3F">
        <w:rPr>
          <w:rFonts w:ascii="Arial" w:hAnsi="Arial" w:cs="Arial"/>
          <w:sz w:val="24"/>
          <w:szCs w:val="24"/>
        </w:rPr>
        <w:t xml:space="preserve"> de Sumaré</w:t>
      </w:r>
      <w:r w:rsidRPr="00383EDC">
        <w:rPr>
          <w:rFonts w:ascii="Arial" w:hAnsi="Arial" w:cs="Arial"/>
          <w:sz w:val="24"/>
          <w:szCs w:val="24"/>
        </w:rPr>
        <w:t>.</w:t>
      </w:r>
    </w:p>
    <w:p w:rsidR="00383EDC" w:rsidRPr="00383EDC" w:rsidP="00383EDC" w14:paraId="722562A0" w14:textId="1E1C462F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b/>
          <w:bCs/>
          <w:sz w:val="24"/>
          <w:szCs w:val="24"/>
        </w:rPr>
        <w:t>Art. 2º</w:t>
      </w:r>
      <w:r w:rsidRPr="00383EDC">
        <w:rPr>
          <w:rFonts w:ascii="Arial" w:hAnsi="Arial" w:cs="Arial"/>
          <w:sz w:val="24"/>
          <w:szCs w:val="24"/>
        </w:rPr>
        <w:t xml:space="preserve"> As festividades de que trata esta Lei terão como referência o dia </w:t>
      </w:r>
      <w:r w:rsidRPr="00383EDC">
        <w:rPr>
          <w:rFonts w:ascii="Arial" w:hAnsi="Arial" w:cs="Arial"/>
          <w:b/>
          <w:bCs/>
          <w:sz w:val="24"/>
          <w:szCs w:val="24"/>
        </w:rPr>
        <w:t>29 de setembro</w:t>
      </w:r>
      <w:r w:rsidRPr="00383EDC">
        <w:rPr>
          <w:rFonts w:ascii="Arial" w:hAnsi="Arial" w:cs="Arial"/>
          <w:sz w:val="24"/>
          <w:szCs w:val="24"/>
        </w:rPr>
        <w:t xml:space="preserve">, data dedicada a </w:t>
      </w:r>
      <w:r w:rsidRPr="00383EDC">
        <w:rPr>
          <w:rFonts w:ascii="Arial" w:hAnsi="Arial" w:cs="Arial"/>
          <w:b/>
          <w:bCs/>
          <w:sz w:val="24"/>
          <w:szCs w:val="24"/>
        </w:rPr>
        <w:t>São Miguel Arcanjo</w:t>
      </w:r>
      <w:r w:rsidRPr="00383EDC">
        <w:rPr>
          <w:rFonts w:ascii="Arial" w:hAnsi="Arial" w:cs="Arial"/>
          <w:sz w:val="24"/>
          <w:szCs w:val="24"/>
        </w:rPr>
        <w:t>, podendo sua programação ser realizada em período definido pela organização da Paróquia, de acordo com o calendário litúrgico e a programação anual da comunidade</w:t>
      </w:r>
      <w:r w:rsidR="003E5F3F">
        <w:rPr>
          <w:rFonts w:ascii="Arial" w:hAnsi="Arial" w:cs="Arial"/>
          <w:sz w:val="24"/>
          <w:szCs w:val="24"/>
        </w:rPr>
        <w:t xml:space="preserve">, sempre no mês de </w:t>
      </w:r>
      <w:r w:rsidR="003E5F3F">
        <w:rPr>
          <w:rFonts w:ascii="Arial" w:hAnsi="Arial" w:cs="Arial"/>
          <w:sz w:val="24"/>
          <w:szCs w:val="24"/>
        </w:rPr>
        <w:t>Setembro</w:t>
      </w:r>
      <w:r w:rsidRPr="00383EDC">
        <w:rPr>
          <w:rFonts w:ascii="Arial" w:hAnsi="Arial" w:cs="Arial"/>
          <w:sz w:val="24"/>
          <w:szCs w:val="24"/>
        </w:rPr>
        <w:t>.</w:t>
      </w:r>
    </w:p>
    <w:p w:rsidR="00383EDC" w:rsidRPr="00383EDC" w:rsidP="00383EDC" w14:paraId="1F457E00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b/>
          <w:bCs/>
          <w:sz w:val="24"/>
          <w:szCs w:val="24"/>
        </w:rPr>
        <w:t>Art. 3º</w:t>
      </w:r>
      <w:r w:rsidRPr="00383EDC">
        <w:rPr>
          <w:rFonts w:ascii="Arial" w:hAnsi="Arial" w:cs="Arial"/>
          <w:sz w:val="24"/>
          <w:szCs w:val="24"/>
        </w:rPr>
        <w:t xml:space="preserve"> As festividades poderão compreender, entre outras atividades:</w:t>
      </w:r>
    </w:p>
    <w:p w:rsidR="00383EDC" w:rsidRPr="00383EDC" w:rsidP="00383EDC" w14:paraId="47FF92CD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sz w:val="24"/>
          <w:szCs w:val="24"/>
        </w:rPr>
        <w:t xml:space="preserve">I – </w:t>
      </w:r>
      <w:r w:rsidRPr="00383EDC">
        <w:rPr>
          <w:rFonts w:ascii="Arial" w:hAnsi="Arial" w:cs="Arial"/>
          <w:sz w:val="24"/>
          <w:szCs w:val="24"/>
        </w:rPr>
        <w:t>celebrações</w:t>
      </w:r>
      <w:r w:rsidRPr="00383EDC">
        <w:rPr>
          <w:rFonts w:ascii="Arial" w:hAnsi="Arial" w:cs="Arial"/>
          <w:sz w:val="24"/>
          <w:szCs w:val="24"/>
        </w:rPr>
        <w:t xml:space="preserve"> religiosas, missas, novenas, procissões e demais atos litúrgicos;</w:t>
      </w:r>
    </w:p>
    <w:p w:rsidR="00383EDC" w:rsidRPr="00383EDC" w:rsidP="00383EDC" w14:paraId="32AFA348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sz w:val="24"/>
          <w:szCs w:val="24"/>
        </w:rPr>
        <w:t xml:space="preserve">II – </w:t>
      </w:r>
      <w:r w:rsidRPr="00383EDC">
        <w:rPr>
          <w:rFonts w:ascii="Arial" w:hAnsi="Arial" w:cs="Arial"/>
          <w:sz w:val="24"/>
          <w:szCs w:val="24"/>
        </w:rPr>
        <w:t>atividades</w:t>
      </w:r>
      <w:r w:rsidRPr="00383EDC">
        <w:rPr>
          <w:rFonts w:ascii="Arial" w:hAnsi="Arial" w:cs="Arial"/>
          <w:sz w:val="24"/>
          <w:szCs w:val="24"/>
        </w:rPr>
        <w:t xml:space="preserve"> culturais, sociais e comunitárias;</w:t>
      </w:r>
    </w:p>
    <w:p w:rsidR="00383EDC" w:rsidRPr="00383EDC" w:rsidP="00383EDC" w14:paraId="1717CEB6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sz w:val="24"/>
          <w:szCs w:val="24"/>
        </w:rPr>
        <w:t>III – apresentações musicais e manifestações artísticas;</w:t>
      </w:r>
    </w:p>
    <w:p w:rsidR="00383EDC" w:rsidRPr="00383EDC" w:rsidP="00383EDC" w14:paraId="0761CF86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sz w:val="24"/>
          <w:szCs w:val="24"/>
        </w:rPr>
        <w:t xml:space="preserve">IV – </w:t>
      </w:r>
      <w:r w:rsidRPr="00383EDC">
        <w:rPr>
          <w:rFonts w:ascii="Arial" w:hAnsi="Arial" w:cs="Arial"/>
          <w:sz w:val="24"/>
          <w:szCs w:val="24"/>
        </w:rPr>
        <w:t>ações</w:t>
      </w:r>
      <w:r w:rsidRPr="00383EDC">
        <w:rPr>
          <w:rFonts w:ascii="Arial" w:hAnsi="Arial" w:cs="Arial"/>
          <w:sz w:val="24"/>
          <w:szCs w:val="24"/>
        </w:rPr>
        <w:t xml:space="preserve"> de integração e confraternização da comunidade;</w:t>
      </w:r>
    </w:p>
    <w:p w:rsidR="00383EDC" w:rsidRPr="00383EDC" w:rsidP="00383EDC" w14:paraId="4E62EC05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sz w:val="24"/>
          <w:szCs w:val="24"/>
        </w:rPr>
        <w:t xml:space="preserve">V – </w:t>
      </w:r>
      <w:r w:rsidRPr="00383EDC">
        <w:rPr>
          <w:rFonts w:ascii="Arial" w:hAnsi="Arial" w:cs="Arial"/>
          <w:sz w:val="24"/>
          <w:szCs w:val="24"/>
        </w:rPr>
        <w:t>atividades</w:t>
      </w:r>
      <w:r w:rsidRPr="00383EDC">
        <w:rPr>
          <w:rFonts w:ascii="Arial" w:hAnsi="Arial" w:cs="Arial"/>
          <w:sz w:val="24"/>
          <w:szCs w:val="24"/>
        </w:rPr>
        <w:t xml:space="preserve"> beneficentes e de caráter social;</w:t>
      </w:r>
    </w:p>
    <w:p w:rsidR="00383EDC" w:rsidRPr="00383EDC" w:rsidP="00383EDC" w14:paraId="44055954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sz w:val="24"/>
          <w:szCs w:val="24"/>
        </w:rPr>
        <w:t xml:space="preserve">VI – </w:t>
      </w:r>
      <w:r w:rsidRPr="00383EDC">
        <w:rPr>
          <w:rFonts w:ascii="Arial" w:hAnsi="Arial" w:cs="Arial"/>
          <w:sz w:val="24"/>
          <w:szCs w:val="24"/>
        </w:rPr>
        <w:t>outras</w:t>
      </w:r>
      <w:r w:rsidRPr="00383EDC">
        <w:rPr>
          <w:rFonts w:ascii="Arial" w:hAnsi="Arial" w:cs="Arial"/>
          <w:sz w:val="24"/>
          <w:szCs w:val="24"/>
        </w:rPr>
        <w:t xml:space="preserve"> atividades relacionadas à celebração de São Miguel Arcanjo e à integração da comunidade.</w:t>
      </w:r>
    </w:p>
    <w:p w:rsidR="00383EDC" w:rsidRPr="00383EDC" w:rsidP="00383EDC" w14:paraId="1C40B95E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b/>
          <w:bCs/>
          <w:sz w:val="24"/>
          <w:szCs w:val="24"/>
        </w:rPr>
        <w:t>Art. 4º</w:t>
      </w:r>
      <w:r w:rsidRPr="00383EDC">
        <w:rPr>
          <w:rFonts w:ascii="Arial" w:hAnsi="Arial" w:cs="Arial"/>
          <w:sz w:val="24"/>
          <w:szCs w:val="24"/>
        </w:rPr>
        <w:t xml:space="preserve"> As festividades poderão ser realizadas em parceria com entidades religiosas, associações, organizações da sociedade civil, comerciantes, voluntários e demais instituições interessadas, observada a legislação municipal vigente.</w:t>
      </w:r>
    </w:p>
    <w:p w:rsidR="00383EDC" w:rsidRPr="00383EDC" w:rsidP="00383EDC" w14:paraId="7A141A6B" w14:textId="27AE1752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b/>
          <w:bCs/>
          <w:sz w:val="24"/>
          <w:szCs w:val="24"/>
        </w:rPr>
        <w:t>Art. 5º</w:t>
      </w:r>
      <w:r w:rsidRPr="00383EDC">
        <w:rPr>
          <w:rFonts w:ascii="Arial" w:hAnsi="Arial" w:cs="Arial"/>
          <w:sz w:val="24"/>
          <w:szCs w:val="24"/>
        </w:rPr>
        <w:t xml:space="preserve"> A inclusão das festividades no Calendário Oficial de Eventos do Município não implica, por si só, obrigatoriedade de realização de despesas pelo Poder Público, ficando eventual </w:t>
      </w:r>
      <w:r w:rsidRPr="00383EDC" w:rsidR="00E34644">
        <w:rPr>
          <w:rFonts w:ascii="Arial" w:hAnsi="Arial" w:cs="Arial"/>
          <w:sz w:val="24"/>
          <w:szCs w:val="24"/>
        </w:rPr>
        <w:t>apoio ou parceria condicionados</w:t>
      </w:r>
      <w:r w:rsidRPr="00383EDC">
        <w:rPr>
          <w:rFonts w:ascii="Arial" w:hAnsi="Arial" w:cs="Arial"/>
          <w:sz w:val="24"/>
          <w:szCs w:val="24"/>
        </w:rPr>
        <w:t xml:space="preserve"> à disponibilidade orçamentária e às normas legais aplicáveis.</w:t>
      </w:r>
    </w:p>
    <w:p w:rsidR="00383EDC" w:rsidRPr="00383EDC" w:rsidP="00383EDC" w14:paraId="704681D0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b/>
          <w:bCs/>
          <w:sz w:val="24"/>
          <w:szCs w:val="24"/>
        </w:rPr>
        <w:t>Art. 6º</w:t>
      </w:r>
      <w:r w:rsidRPr="00383EDC">
        <w:rPr>
          <w:rFonts w:ascii="Arial" w:hAnsi="Arial" w:cs="Arial"/>
          <w:sz w:val="24"/>
          <w:szCs w:val="24"/>
        </w:rPr>
        <w:t xml:space="preserve"> O Poder Executivo poderá, na forma da legislação vigente, apoiar a divulgação das festividades e colaborar para sua realização, especialmente quanto às medidas administrativas necessárias à organização dos eventos.</w:t>
      </w:r>
    </w:p>
    <w:p w:rsidR="00383EDC" w:rsidP="00383EDC" w14:paraId="5BEF0E02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b/>
          <w:bCs/>
          <w:sz w:val="24"/>
          <w:szCs w:val="24"/>
        </w:rPr>
        <w:t>Art. 7º</w:t>
      </w:r>
      <w:r w:rsidRPr="00383EDC">
        <w:rPr>
          <w:rFonts w:ascii="Arial" w:hAnsi="Arial" w:cs="Arial"/>
          <w:sz w:val="24"/>
          <w:szCs w:val="24"/>
        </w:rPr>
        <w:t xml:space="preserve"> Esta Lei entra em vigor na data de sua publicação.</w:t>
      </w:r>
    </w:p>
    <w:p w:rsidR="003E5F3F" w:rsidP="00383EDC" w14:paraId="209EC9A7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3E5F3F" w:rsidP="003E5F3F" w14:paraId="48DDA601" w14:textId="6E1C72D9">
      <w:pPr>
        <w:jc w:val="center"/>
        <w:rPr>
          <w:rFonts w:ascii="Arial" w:hAnsi="Arial" w:cs="Arial"/>
        </w:rPr>
      </w:pPr>
      <w:r w:rsidRPr="000319A9"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1769110</wp:posOffset>
            </wp:positionH>
            <wp:positionV relativeFrom="paragraph">
              <wp:posOffset>235180</wp:posOffset>
            </wp:positionV>
            <wp:extent cx="2334895" cy="737656"/>
            <wp:effectExtent l="0" t="0" r="0" b="0"/>
            <wp:wrapNone/>
            <wp:docPr id="282345916" name="Imagem 282345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225985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>Sala das Sessões, 29 de setembro de 2026</w:t>
      </w:r>
    </w:p>
    <w:p w:rsidR="003E5F3F" w:rsidRPr="000319A9" w:rsidP="003E5F3F" w14:paraId="7A365744" w14:textId="77777777">
      <w:pPr>
        <w:spacing w:after="0"/>
        <w:jc w:val="center"/>
        <w:rPr>
          <w:rFonts w:ascii="Arial" w:eastAsia="Times New Roman" w:hAnsi="Arial" w:cs="Arial"/>
          <w:sz w:val="20"/>
          <w:szCs w:val="20"/>
        </w:rPr>
      </w:pPr>
    </w:p>
    <w:p w:rsidR="003E5F3F" w:rsidRPr="000319A9" w:rsidP="003E5F3F" w14:paraId="11BEC2EB" w14:textId="77777777">
      <w:pPr>
        <w:spacing w:after="0" w:line="240" w:lineRule="auto"/>
        <w:ind w:right="1797"/>
        <w:rPr>
          <w:rFonts w:ascii="Arial" w:eastAsia="Times New Roman" w:hAnsi="Arial" w:cs="Arial"/>
          <w:b/>
          <w:bCs/>
          <w:sz w:val="20"/>
          <w:szCs w:val="20"/>
        </w:rPr>
      </w:pPr>
    </w:p>
    <w:p w:rsidR="003E5F3F" w:rsidRPr="000319A9" w:rsidP="003E5F3F" w14:paraId="5E48648C" w14:textId="777777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E5F3F" w:rsidRPr="000319A9" w:rsidP="003E5F3F" w14:paraId="1A462B06" w14:textId="777777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0319A9">
        <w:rPr>
          <w:rFonts w:ascii="Arial" w:hAnsi="Arial" w:cs="Arial"/>
          <w:b/>
          <w:sz w:val="20"/>
          <w:szCs w:val="20"/>
        </w:rPr>
        <w:t xml:space="preserve">SEBASTIAO ALVES CORREA </w:t>
      </w:r>
    </w:p>
    <w:p w:rsidR="003E5F3F" w:rsidRPr="000319A9" w:rsidP="003E5F3F" w14:paraId="10ED48B1" w14:textId="77777777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0319A9">
        <w:rPr>
          <w:rFonts w:ascii="Arial" w:hAnsi="Arial" w:cs="Arial"/>
          <w:bCs/>
          <w:sz w:val="20"/>
          <w:szCs w:val="20"/>
        </w:rPr>
        <w:t>TIÃO CORREA – Vereador (PSDB)</w:t>
      </w:r>
    </w:p>
    <w:p w:rsidR="003E5F3F" w:rsidP="00383EDC" w14:paraId="3B850418" w14:textId="77777777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</w:p>
    <w:p w:rsidR="003E5F3F" w:rsidP="00383EDC" w14:paraId="4A9182F6" w14:textId="77777777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</w:p>
    <w:p w:rsidR="003E5F3F" w:rsidP="00383EDC" w14:paraId="52E3A2CE" w14:textId="77777777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</w:p>
    <w:p w:rsidR="003E5F3F" w:rsidP="00383EDC" w14:paraId="7C899C07" w14:textId="77777777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</w:p>
    <w:p w:rsidR="003E5F3F" w:rsidP="00383EDC" w14:paraId="49771DBC" w14:textId="77777777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</w:p>
    <w:p w:rsidR="003E5F3F" w:rsidP="00383EDC" w14:paraId="50C0AF6A" w14:textId="77777777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</w:p>
    <w:p w:rsidR="003E5F3F" w:rsidP="00383EDC" w14:paraId="71D21C4B" w14:textId="77777777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</w:p>
    <w:p w:rsidR="003E5F3F" w:rsidP="00383EDC" w14:paraId="6CFA2E62" w14:textId="77777777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</w:p>
    <w:p w:rsidR="003E5F3F" w:rsidP="00383EDC" w14:paraId="250E9361" w14:textId="77777777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</w:p>
    <w:p w:rsidR="003E5F3F" w:rsidP="00383EDC" w14:paraId="075210A1" w14:textId="77777777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</w:p>
    <w:p w:rsidR="003E5F3F" w:rsidP="00383EDC" w14:paraId="35735D46" w14:textId="77777777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</w:p>
    <w:p w:rsidR="003E5F3F" w:rsidP="00383EDC" w14:paraId="6C65EF04" w14:textId="77777777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</w:p>
    <w:p w:rsidR="003E5F3F" w:rsidP="00383EDC" w14:paraId="210C0902" w14:textId="77777777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</w:p>
    <w:p w:rsidR="003E5F3F" w:rsidP="00383EDC" w14:paraId="68D18E77" w14:textId="77777777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</w:p>
    <w:p w:rsidR="003E5F3F" w:rsidP="00383EDC" w14:paraId="7BCF0431" w14:textId="77777777">
      <w:pPr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</w:p>
    <w:p w:rsidR="009C1D1F" w:rsidP="003E5F3F" w14:paraId="63E37846" w14:textId="7777777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383EDC" w:rsidP="003E5F3F" w14:paraId="1F61DF84" w14:textId="6ACD5FD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3EDC">
        <w:rPr>
          <w:rFonts w:ascii="Arial" w:hAnsi="Arial" w:cs="Arial"/>
          <w:b/>
          <w:bCs/>
          <w:sz w:val="24"/>
          <w:szCs w:val="24"/>
        </w:rPr>
        <w:t>JUSTIFICATIVA</w:t>
      </w:r>
    </w:p>
    <w:p w:rsidR="009C1D1F" w:rsidRPr="00383EDC" w:rsidP="003E5F3F" w14:paraId="53C60106" w14:textId="7777777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383EDC" w:rsidRPr="00383EDC" w:rsidP="00383EDC" w14:paraId="0FE62548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sz w:val="24"/>
          <w:szCs w:val="24"/>
        </w:rPr>
        <w:t xml:space="preserve">O presente Projeto de Lei tem por objetivo </w:t>
      </w:r>
      <w:r w:rsidRPr="00383EDC">
        <w:rPr>
          <w:rFonts w:ascii="Arial" w:hAnsi="Arial" w:cs="Arial"/>
          <w:b/>
          <w:bCs/>
          <w:sz w:val="24"/>
          <w:szCs w:val="24"/>
        </w:rPr>
        <w:t>instituir e incluir no Calendário Oficial de Eventos do Município de Sumaré as Festividades da Paróquia São Miguel Arcanjo</w:t>
      </w:r>
      <w:r w:rsidRPr="00383EDC">
        <w:rPr>
          <w:rFonts w:ascii="Arial" w:hAnsi="Arial" w:cs="Arial"/>
          <w:sz w:val="24"/>
          <w:szCs w:val="24"/>
        </w:rPr>
        <w:t>, reconhecendo a importância religiosa, cultural e comunitária dessa celebração para os moradores do Município.</w:t>
      </w:r>
    </w:p>
    <w:p w:rsidR="00383EDC" w:rsidRPr="00383EDC" w:rsidP="00383EDC" w14:paraId="0B30F11C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sz w:val="24"/>
          <w:szCs w:val="24"/>
        </w:rPr>
        <w:t xml:space="preserve">A Paróquia São Miguel Arcanjo está situada na Rua Santa Clara, nº 140, no Jardim Santa Clara, em Sumaré, e integra a </w:t>
      </w:r>
      <w:r w:rsidRPr="00383EDC">
        <w:rPr>
          <w:rFonts w:ascii="Arial" w:hAnsi="Arial" w:cs="Arial"/>
          <w:b/>
          <w:bCs/>
          <w:sz w:val="24"/>
          <w:szCs w:val="24"/>
        </w:rPr>
        <w:t>Arquidiocese de Campinas</w:t>
      </w:r>
      <w:r w:rsidRPr="00383EDC">
        <w:rPr>
          <w:rFonts w:ascii="Arial" w:hAnsi="Arial" w:cs="Arial"/>
          <w:sz w:val="24"/>
          <w:szCs w:val="24"/>
        </w:rPr>
        <w:t xml:space="preserve">. Conforme informações da própria Arquidiocese, a paróquia foi criada em </w:t>
      </w:r>
      <w:r w:rsidRPr="00383EDC">
        <w:rPr>
          <w:rFonts w:ascii="Arial" w:hAnsi="Arial" w:cs="Arial"/>
          <w:b/>
          <w:bCs/>
          <w:sz w:val="24"/>
          <w:szCs w:val="24"/>
        </w:rPr>
        <w:t>5 de março de 1996</w:t>
      </w:r>
      <w:r w:rsidRPr="00383EDC">
        <w:rPr>
          <w:rFonts w:ascii="Arial" w:hAnsi="Arial" w:cs="Arial"/>
          <w:sz w:val="24"/>
          <w:szCs w:val="24"/>
        </w:rPr>
        <w:t xml:space="preserve"> e tem como padroeiro São Miguel Arcanjo. Arquidiocese de Campinas </w:t>
      </w:r>
    </w:p>
    <w:p w:rsidR="00383EDC" w:rsidRPr="00383EDC" w:rsidP="00383EDC" w14:paraId="6F9E6A41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sz w:val="24"/>
          <w:szCs w:val="24"/>
        </w:rPr>
        <w:t>As festividades dedicadas ao santo padroeiro constituem oportunidade de reunião das famílias e da comunidade, envolvendo celebrações religiosas, atividades culturais, ações sociais e momentos de confraternização.</w:t>
      </w:r>
    </w:p>
    <w:p w:rsidR="00383EDC" w:rsidRPr="00383EDC" w:rsidP="00383EDC" w14:paraId="2B5F2A76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sz w:val="24"/>
          <w:szCs w:val="24"/>
        </w:rPr>
        <w:t xml:space="preserve">A iniciativa também se harmoniza com a prática legislativa municipal de inclusão de eventos e campanhas no Calendário Oficial de Eventos de Sumaré. A Câmara Municipal possui, por exemplo, legislação que institui e inclui diferentes eventos no calendário oficial do Município. Consulta </w:t>
      </w:r>
    </w:p>
    <w:p w:rsidR="00383EDC" w:rsidRPr="00383EDC" w:rsidP="00383EDC" w14:paraId="7CECCB9A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sz w:val="24"/>
          <w:szCs w:val="24"/>
        </w:rPr>
        <w:t xml:space="preserve">Importante destacar que a presente proposição </w:t>
      </w:r>
      <w:r w:rsidRPr="00383EDC">
        <w:rPr>
          <w:rFonts w:ascii="Arial" w:hAnsi="Arial" w:cs="Arial"/>
          <w:b/>
          <w:bCs/>
          <w:sz w:val="24"/>
          <w:szCs w:val="24"/>
        </w:rPr>
        <w:t>não cria feriado municipal</w:t>
      </w:r>
      <w:r w:rsidRPr="00383EDC">
        <w:rPr>
          <w:rFonts w:ascii="Arial" w:hAnsi="Arial" w:cs="Arial"/>
          <w:sz w:val="24"/>
          <w:szCs w:val="24"/>
        </w:rPr>
        <w:t>, tampouco estabelece obrigação automática de realização de despesas pelo Poder Executivo. Seu objetivo é reconhecer oficialmente a festividade e possibilitar sua inserção no calendário municipal, preservando a autonomia da organização religiosa e observando a legislação aplicável.</w:t>
      </w:r>
    </w:p>
    <w:p w:rsidR="00383EDC" w:rsidRPr="00383EDC" w:rsidP="00383EDC" w14:paraId="234BD1E0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383EDC">
        <w:rPr>
          <w:rFonts w:ascii="Arial" w:hAnsi="Arial" w:cs="Arial"/>
          <w:sz w:val="24"/>
          <w:szCs w:val="24"/>
        </w:rPr>
        <w:t>Diante da relevância da iniciativa para a comunidade do Jardim Santa Clara e para o Município de Sumaré, contamos com o apoio dos nobres pares para a aprovação deste Projeto de Lei.</w:t>
      </w:r>
    </w:p>
    <w:p w:rsidR="002C42CF" w:rsidRPr="004E07E0" w:rsidP="002C42CF" w14:paraId="57F055F3" w14:textId="77777777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2C42CF" w:rsidP="002C42CF" w14:paraId="23A24E0A" w14:textId="1C5FFA97">
      <w:pPr>
        <w:jc w:val="center"/>
        <w:rPr>
          <w:rFonts w:ascii="Arial" w:hAnsi="Arial" w:cs="Arial"/>
        </w:rPr>
      </w:pPr>
      <w:r w:rsidRPr="000319A9">
        <w:rPr>
          <w:rFonts w:ascii="Arial" w:hAnsi="Arial" w:cs="Arial"/>
          <w:bCs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1769110</wp:posOffset>
            </wp:positionH>
            <wp:positionV relativeFrom="paragraph">
              <wp:posOffset>235180</wp:posOffset>
            </wp:positionV>
            <wp:extent cx="2334895" cy="737656"/>
            <wp:effectExtent l="0" t="0" r="0" b="0"/>
            <wp:wrapNone/>
            <wp:docPr id="680607326" name="Imagem 680607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342347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 xml:space="preserve">Sala das Sessões, </w:t>
      </w:r>
      <w:r w:rsidR="003E5F3F">
        <w:rPr>
          <w:rFonts w:ascii="Arial" w:hAnsi="Arial" w:cs="Arial"/>
        </w:rPr>
        <w:t>29</w:t>
      </w:r>
      <w:r>
        <w:rPr>
          <w:rFonts w:ascii="Arial" w:hAnsi="Arial" w:cs="Arial"/>
        </w:rPr>
        <w:t xml:space="preserve"> de </w:t>
      </w:r>
      <w:r w:rsidR="003E5F3F">
        <w:rPr>
          <w:rFonts w:ascii="Arial" w:hAnsi="Arial" w:cs="Arial"/>
        </w:rPr>
        <w:t>Setembro</w:t>
      </w:r>
      <w:r>
        <w:rPr>
          <w:rFonts w:ascii="Arial" w:hAnsi="Arial" w:cs="Arial"/>
        </w:rPr>
        <w:t xml:space="preserve"> de 2026</w:t>
      </w:r>
    </w:p>
    <w:p w:rsidR="002C42CF" w:rsidRPr="000319A9" w:rsidP="002C42CF" w14:paraId="2498ADFA" w14:textId="77777777">
      <w:pPr>
        <w:spacing w:after="0"/>
        <w:jc w:val="center"/>
        <w:rPr>
          <w:rFonts w:ascii="Arial" w:eastAsia="Times New Roman" w:hAnsi="Arial" w:cs="Arial"/>
          <w:sz w:val="20"/>
          <w:szCs w:val="20"/>
        </w:rPr>
      </w:pPr>
    </w:p>
    <w:p w:rsidR="002C42CF" w:rsidRPr="000319A9" w:rsidP="002C42CF" w14:paraId="10570938" w14:textId="77777777">
      <w:pPr>
        <w:spacing w:after="0" w:line="240" w:lineRule="auto"/>
        <w:ind w:right="1797"/>
        <w:rPr>
          <w:rFonts w:ascii="Arial" w:eastAsia="Times New Roman" w:hAnsi="Arial" w:cs="Arial"/>
          <w:b/>
          <w:bCs/>
          <w:sz w:val="20"/>
          <w:szCs w:val="20"/>
        </w:rPr>
      </w:pPr>
    </w:p>
    <w:p w:rsidR="002C42CF" w:rsidRPr="000319A9" w:rsidP="002C42CF" w14:paraId="76096210" w14:textId="777777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2C42CF" w:rsidRPr="000319A9" w:rsidP="002C42CF" w14:paraId="6103ECE8" w14:textId="777777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0319A9">
        <w:rPr>
          <w:rFonts w:ascii="Arial" w:hAnsi="Arial" w:cs="Arial"/>
          <w:b/>
          <w:sz w:val="20"/>
          <w:szCs w:val="20"/>
        </w:rPr>
        <w:t xml:space="preserve">SEBASTIAO ALVES CORREA </w:t>
      </w:r>
    </w:p>
    <w:p w:rsidR="002C42CF" w:rsidRPr="000319A9" w:rsidP="002C42CF" w14:paraId="6EA46C1A" w14:textId="77777777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0319A9">
        <w:rPr>
          <w:rFonts w:ascii="Arial" w:hAnsi="Arial" w:cs="Arial"/>
          <w:bCs/>
          <w:sz w:val="20"/>
          <w:szCs w:val="20"/>
        </w:rPr>
        <w:t>TIÃO CORREA – Vereador (PSDB)</w:t>
      </w:r>
    </w:p>
    <w:p w:rsidR="002C42CF" w:rsidP="002C42CF" w14:paraId="552A97FA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</w:p>
    <w:sectPr w:rsidSect="002F350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141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14:paraId="5BB1C3B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571AB1" w:rsidRPr="006D1E9A" w:rsidP="006D1E9A" w14:paraId="166BF905" w14:textId="7777777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571AB1" w:rsidRPr="006D1E9A" w:rsidP="006D1E9A" w14:paraId="473CED03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14:paraId="22F9212D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:rsidRPr="006D1E9A" w:rsidP="006D1E9A" w14:paraId="03DBD5D6" w14:textId="77777777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91423641" name="Imagem 20914236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4E0"/>
    <w:rsid w:val="00022729"/>
    <w:rsid w:val="000278DD"/>
    <w:rsid w:val="000319A9"/>
    <w:rsid w:val="00070A40"/>
    <w:rsid w:val="000A1A5F"/>
    <w:rsid w:val="000E6FB3"/>
    <w:rsid w:val="000F1FDE"/>
    <w:rsid w:val="0012403D"/>
    <w:rsid w:val="001627E0"/>
    <w:rsid w:val="00180FE4"/>
    <w:rsid w:val="001A3CA0"/>
    <w:rsid w:val="001B6D0E"/>
    <w:rsid w:val="001E1B6A"/>
    <w:rsid w:val="001F0514"/>
    <w:rsid w:val="00201EAA"/>
    <w:rsid w:val="00210DA9"/>
    <w:rsid w:val="002128A0"/>
    <w:rsid w:val="00250E4C"/>
    <w:rsid w:val="00294700"/>
    <w:rsid w:val="002C42CF"/>
    <w:rsid w:val="002F350A"/>
    <w:rsid w:val="003158F4"/>
    <w:rsid w:val="00344B3B"/>
    <w:rsid w:val="00362179"/>
    <w:rsid w:val="00383EDC"/>
    <w:rsid w:val="003E5F3F"/>
    <w:rsid w:val="004046EC"/>
    <w:rsid w:val="00482C1B"/>
    <w:rsid w:val="0048672D"/>
    <w:rsid w:val="004977E7"/>
    <w:rsid w:val="004A04B1"/>
    <w:rsid w:val="004B2189"/>
    <w:rsid w:val="004B7C36"/>
    <w:rsid w:val="004D67FD"/>
    <w:rsid w:val="004E07E0"/>
    <w:rsid w:val="005038CC"/>
    <w:rsid w:val="0052123D"/>
    <w:rsid w:val="00571AB1"/>
    <w:rsid w:val="005A28D1"/>
    <w:rsid w:val="005D2595"/>
    <w:rsid w:val="00647362"/>
    <w:rsid w:val="00653E42"/>
    <w:rsid w:val="00676980"/>
    <w:rsid w:val="006945AF"/>
    <w:rsid w:val="006C1428"/>
    <w:rsid w:val="006D1E9A"/>
    <w:rsid w:val="006E0DF8"/>
    <w:rsid w:val="0073632F"/>
    <w:rsid w:val="00755D7F"/>
    <w:rsid w:val="007F5A82"/>
    <w:rsid w:val="00856A11"/>
    <w:rsid w:val="008834E0"/>
    <w:rsid w:val="008862EE"/>
    <w:rsid w:val="00893A60"/>
    <w:rsid w:val="009509E3"/>
    <w:rsid w:val="00962552"/>
    <w:rsid w:val="009905D6"/>
    <w:rsid w:val="009A0E92"/>
    <w:rsid w:val="009C1D1F"/>
    <w:rsid w:val="009C236A"/>
    <w:rsid w:val="009D5864"/>
    <w:rsid w:val="009D7CFB"/>
    <w:rsid w:val="00A50CCB"/>
    <w:rsid w:val="00A52523"/>
    <w:rsid w:val="00AC60B3"/>
    <w:rsid w:val="00AF1529"/>
    <w:rsid w:val="00B047F9"/>
    <w:rsid w:val="00B54AD8"/>
    <w:rsid w:val="00B72DAD"/>
    <w:rsid w:val="00B85429"/>
    <w:rsid w:val="00BC081C"/>
    <w:rsid w:val="00BC6C68"/>
    <w:rsid w:val="00BD200C"/>
    <w:rsid w:val="00BD5ACD"/>
    <w:rsid w:val="00BE3A9A"/>
    <w:rsid w:val="00BF03F8"/>
    <w:rsid w:val="00C62D78"/>
    <w:rsid w:val="00C6558F"/>
    <w:rsid w:val="00CA1E35"/>
    <w:rsid w:val="00CA6BD6"/>
    <w:rsid w:val="00CB3769"/>
    <w:rsid w:val="00CE75CC"/>
    <w:rsid w:val="00D97D31"/>
    <w:rsid w:val="00DC08D4"/>
    <w:rsid w:val="00E075F8"/>
    <w:rsid w:val="00E1317A"/>
    <w:rsid w:val="00E1349D"/>
    <w:rsid w:val="00E34644"/>
    <w:rsid w:val="00EB103B"/>
    <w:rsid w:val="00EE0800"/>
    <w:rsid w:val="00EE2D8B"/>
    <w:rsid w:val="00EF05EE"/>
    <w:rsid w:val="00EF6F5D"/>
    <w:rsid w:val="00F14C4F"/>
    <w:rsid w:val="00F36954"/>
    <w:rsid w:val="00F40CEA"/>
    <w:rsid w:val="00F9180A"/>
    <w:rsid w:val="00FD1AE9"/>
    <w:rsid w:val="00FF612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1FBD10E-0A7D-4429-BBA9-885AB7D6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F3F"/>
    <w:pPr>
      <w:spacing w:after="200" w:line="276" w:lineRule="auto"/>
    </w:pPr>
    <w:rPr>
      <w:rFonts w:ascii="Calibri" w:eastAsia="Calibri" w:hAnsi="Calibri" w:cs="Calibri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3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CabealhoChar"/>
    <w:uiPriority w:val="99"/>
    <w:unhideWhenUsed/>
    <w:rsid w:val="00BD20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BD200C"/>
    <w:rPr>
      <w:rFonts w:ascii="Calibri" w:eastAsia="Calibri" w:hAnsi="Calibri" w:cs="Calibri"/>
      <w:lang w:eastAsia="pt-BR"/>
    </w:rPr>
  </w:style>
  <w:style w:type="character" w:customStyle="1" w:styleId="normas-indices-artigo">
    <w:name w:val="normas-indices-artigo"/>
    <w:basedOn w:val="DefaultParagraphFont"/>
    <w:rsid w:val="00250E4C"/>
  </w:style>
  <w:style w:type="character" w:customStyle="1" w:styleId="highlight">
    <w:name w:val="highlight"/>
    <w:basedOn w:val="DefaultParagraphFont"/>
    <w:rsid w:val="00250E4C"/>
  </w:style>
  <w:style w:type="character" w:customStyle="1" w:styleId="uv3um">
    <w:name w:val="uv3um"/>
    <w:basedOn w:val="DefaultParagraphFont"/>
    <w:rsid w:val="00F14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4781C-35B0-4D22-8EF5-33C6E2A81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611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Tião Correa</dc:creator>
  <cp:lastModifiedBy>Gabinete 17 - Tiao Correa</cp:lastModifiedBy>
  <cp:revision>6</cp:revision>
  <cp:lastPrinted>2023-08-16T17:35:00Z</cp:lastPrinted>
  <dcterms:created xsi:type="dcterms:W3CDTF">2026-09-23T12:25:00Z</dcterms:created>
  <dcterms:modified xsi:type="dcterms:W3CDTF">2026-09-28T14:19:00Z</dcterms:modified>
</cp:coreProperties>
</file>