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0F2235" w:rsidRPr="000F2235" w:rsidP="000F2235" w14:paraId="4A7C519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0F2235">
        <w:rPr>
          <w:rFonts w:ascii="Times New Roman" w:eastAsia="Arial" w:hAnsi="Times New Roman" w:cs="Times New Roman"/>
          <w:b/>
          <w:bCs/>
          <w:sz w:val="24"/>
          <w:szCs w:val="24"/>
        </w:rPr>
        <w:t>Cascalhamento da Estrada da Reforma Agrária – Assentamento 2</w:t>
      </w:r>
    </w:p>
    <w:p w:rsidR="00BF13A9" w:rsidRPr="004D01BB" w:rsidP="00062BE7" w14:paraId="4337FBBB" w14:textId="1E52D0C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0F2235" w:rsidRPr="000F2235" w:rsidP="000F2235" w14:paraId="2C1A979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F2235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Mobilidade Urbana e Rural a realização de cascalhamento da Estrada da Reforma Agrária, localizada no Assentamento 2, visando à melhoria das condições de tráfego da via.</w:t>
      </w:r>
    </w:p>
    <w:p w:rsidR="000F2235" w:rsidRPr="000F2235" w:rsidP="000F2235" w14:paraId="7501B14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F2235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das condições precárias da estrada, especialmente em períodos chuvosos, quando a formação de lama e buracos compromete a circulação de veículos, dificultando o deslocamento dos moradores, produtores rurais, transporte escolar e serviços essenciais. O cascalhamento da via contribuirá para melhorar a trafegabilidade, aumentar a segurança dos usuários e garantir melhores condições de acesso à região.</w:t>
      </w:r>
    </w:p>
    <w:p w:rsidR="000F2235" w:rsidRPr="000F2235" w:rsidP="000F2235" w14:paraId="10133C9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F2235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das vias rurais e a promoção da mobilidade urbana e rural, aguardamos o pronto atendimento desta demanda.</w:t>
      </w:r>
    </w:p>
    <w:p w:rsidR="00AB11BD" w:rsidP="00713F42" w14:paraId="5D721B37" w14:textId="5B38E1F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1400175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33656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5D1B71D1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06929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06929"/>
    <w:rsid w:val="001110C1"/>
    <w:rsid w:val="00114E3A"/>
    <w:rsid w:val="0012721B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85F24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1009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2026-09-28T11:35:00Z</dcterms:created>
  <dcterms:modified xsi:type="dcterms:W3CDTF">2026-09-28T13:55:00Z</dcterms:modified>
</cp:coreProperties>
</file>