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D1497C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26632F">
        <w:rPr>
          <w:sz w:val="28"/>
          <w:szCs w:val="28"/>
        </w:rPr>
        <w:t>galho</w:t>
      </w:r>
      <w:r w:rsidR="00274BB7">
        <w:rPr>
          <w:sz w:val="28"/>
          <w:szCs w:val="28"/>
        </w:rPr>
        <w:t xml:space="preserve"> na Rua Graciliano Ramos, </w:t>
      </w:r>
      <w:r w:rsidR="0026632F">
        <w:rPr>
          <w:sz w:val="28"/>
          <w:szCs w:val="28"/>
        </w:rPr>
        <w:t>1</w:t>
      </w:r>
      <w:r w:rsidR="006964BB">
        <w:rPr>
          <w:sz w:val="28"/>
          <w:szCs w:val="28"/>
        </w:rPr>
        <w:t>45</w:t>
      </w:r>
      <w:r w:rsidR="00274BB7">
        <w:rPr>
          <w:sz w:val="28"/>
          <w:szCs w:val="28"/>
        </w:rPr>
        <w:t xml:space="preserve"> – Parque Residencial Casarão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95346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32F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BB7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3511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4BB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2026-09-24T13:45:00Z</dcterms:created>
  <dcterms:modified xsi:type="dcterms:W3CDTF">2026-09-24T13:45:00Z</dcterms:modified>
</cp:coreProperties>
</file>