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273/2026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autorização ao executivo municipal para promover a abertura de crédito adicional suplementar no orçamento vigente no valor de R$ 772.931,91 (setecentos e setenta e dois mil, novecentos e trinta e um reais e noventa e um centavos),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