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8A3496" w:rsidRPr="008A3496" w:rsidP="008A3496" w14:paraId="4B03FB95" w14:textId="6A09D2D1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A3496">
        <w:rPr>
          <w:rFonts w:ascii="Tahoma" w:hAnsi="Tahoma" w:cs="Tahoma"/>
          <w:b/>
          <w:bCs/>
          <w:sz w:val="24"/>
          <w:szCs w:val="24"/>
        </w:rPr>
        <w:t>Cata-treco na Rua Giacomo Bertolucci, nº 450, no bairro Parque Bandeirantes.</w:t>
      </w:r>
    </w:p>
    <w:p w:rsidR="008A3496" w:rsidRPr="008A3496" w:rsidP="008A3496" w14:paraId="72D75B64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A3496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cata-treco, tendo em vista o acúmulo de materiais inservíveis no local, situação que compromete a limpeza urbana, favorece a proliferação de insetos e animais peçonhentos e causa transtornos aos moradores.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0FEDB5F4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27B91">
        <w:rPr>
          <w:rFonts w:ascii="Tahoma" w:hAnsi="Tahoma" w:cs="Tahoma"/>
          <w:sz w:val="24"/>
          <w:szCs w:val="24"/>
        </w:rPr>
        <w:t>22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0DF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066D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3496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2026-09-21T15:24:00Z</dcterms:created>
  <dcterms:modified xsi:type="dcterms:W3CDTF">2026-09-21T15:24:00Z</dcterms:modified>
</cp:coreProperties>
</file>