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BACB3F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0F0290">
        <w:rPr>
          <w:sz w:val="28"/>
          <w:szCs w:val="28"/>
        </w:rPr>
        <w:t xml:space="preserve">treco na Rua Vitor Carmine Cerbasi, </w:t>
      </w:r>
      <w:r w:rsidR="000F0290">
        <w:rPr>
          <w:sz w:val="28"/>
          <w:szCs w:val="28"/>
        </w:rPr>
        <w:t>225</w:t>
      </w:r>
      <w:r w:rsidR="00D01E5B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 –</w:t>
      </w:r>
      <w:r w:rsidR="004452C1">
        <w:rPr>
          <w:sz w:val="28"/>
          <w:szCs w:val="28"/>
        </w:rPr>
        <w:t xml:space="preserve">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37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040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2026-09-17T17:09:00Z</dcterms:created>
  <dcterms:modified xsi:type="dcterms:W3CDTF">2026-09-17T17:09:00Z</dcterms:modified>
</cp:coreProperties>
</file>