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45C6" w:rsidRPr="00CA75C3" w:rsidP="00BD45C6" w14:paraId="6C4FF216" w14:textId="77777777">
      <w:pPr>
        <w:rPr>
          <w:rFonts w:ascii="Bookman Old Style" w:hAnsi="Bookman Old Style"/>
          <w:b/>
          <w:bCs/>
          <w:sz w:val="24"/>
          <w:szCs w:val="24"/>
        </w:rPr>
      </w:pPr>
      <w:permStart w:id="0" w:edGrp="everyone"/>
      <w:r w:rsidRPr="00CA75C3">
        <w:rPr>
          <w:rFonts w:ascii="Bookman Old Style" w:hAnsi="Bookman Old Style"/>
          <w:b/>
          <w:bCs/>
          <w:sz w:val="24"/>
          <w:szCs w:val="24"/>
        </w:rPr>
        <w:t>EMENDA ADITIVA Nº ___/2026 – GAB. VER. PROF. EDINHO</w:t>
      </w:r>
    </w:p>
    <w:p w:rsidR="00CA75C3" w:rsidRPr="00BD45C6" w:rsidP="00BD45C6" w14:paraId="3793DA31" w14:textId="77777777">
      <w:pPr>
        <w:rPr>
          <w:b/>
          <w:bCs/>
        </w:rPr>
      </w:pPr>
    </w:p>
    <w:p w:rsidR="00BD45C6" w:rsidRPr="00CA75C3" w:rsidP="00F67372" w14:paraId="52072C88" w14:textId="3873A2D1">
      <w:pPr>
        <w:ind w:left="4253"/>
        <w:jc w:val="both"/>
        <w:rPr>
          <w:rFonts w:ascii="Bookman Old Style" w:hAnsi="Bookman Old Style"/>
          <w:b/>
          <w:bCs/>
          <w:sz w:val="24"/>
          <w:szCs w:val="24"/>
        </w:rPr>
      </w:pPr>
      <w:r w:rsidRPr="00CA75C3">
        <w:rPr>
          <w:rFonts w:ascii="Bookman Old Style" w:hAnsi="Bookman Old Style"/>
          <w:b/>
          <w:bCs/>
          <w:sz w:val="24"/>
          <w:szCs w:val="24"/>
        </w:rPr>
        <w:t xml:space="preserve">Acrescenta parágrafos ao Art. 194-A do Projeto de Lei nº </w:t>
      </w:r>
      <w:r w:rsidR="00F67372">
        <w:rPr>
          <w:rFonts w:ascii="Bookman Old Style" w:hAnsi="Bookman Old Style"/>
          <w:b/>
          <w:bCs/>
          <w:sz w:val="24"/>
          <w:szCs w:val="24"/>
        </w:rPr>
        <w:t>135</w:t>
      </w:r>
      <w:r w:rsidRPr="00CA75C3">
        <w:rPr>
          <w:rFonts w:ascii="Bookman Old Style" w:hAnsi="Bookman Old Style"/>
          <w:b/>
          <w:bCs/>
          <w:sz w:val="24"/>
          <w:szCs w:val="24"/>
        </w:rPr>
        <w:t>/2025, para autorizar o pagamento do ITBI por cartão de crédito e instituir novas hipóteses de isenção.</w:t>
      </w:r>
    </w:p>
    <w:p w:rsidR="00BD45C6" w:rsidRPr="00BD45C6" w:rsidP="00BD45C6" w14:paraId="77B93EFF" w14:textId="77777777">
      <w:pPr>
        <w:ind w:left="4253"/>
      </w:pPr>
    </w:p>
    <w:p w:rsidR="00BD45C6" w:rsidRPr="00BD45C6" w:rsidP="00BD45C6" w14:paraId="78443598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BD45C6">
        <w:rPr>
          <w:rFonts w:ascii="Bookman Old Style" w:hAnsi="Bookman Old Style"/>
          <w:b/>
          <w:bCs/>
          <w:sz w:val="24"/>
          <w:szCs w:val="24"/>
        </w:rPr>
        <w:t>EXMO. SR. PRESIDENTE DA CÂMARA MUNICIPAL DE SUMARÉ,</w:t>
      </w:r>
    </w:p>
    <w:p w:rsidR="00BD45C6" w:rsidRPr="00BD45C6" w:rsidP="00BD45C6" w14:paraId="6BC90067" w14:textId="2AE6966E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D45C6">
        <w:rPr>
          <w:rFonts w:ascii="Bookman Old Style" w:hAnsi="Bookman Old Style"/>
          <w:sz w:val="24"/>
          <w:szCs w:val="24"/>
        </w:rPr>
        <w:t xml:space="preserve">O Vereador Prof. Edinho, no uso de suas atribuições legais e regimentais, apresenta a seguinte </w:t>
      </w:r>
      <w:r w:rsidRPr="00BD45C6">
        <w:rPr>
          <w:rFonts w:ascii="Bookman Old Style" w:hAnsi="Bookman Old Style"/>
          <w:b/>
          <w:bCs/>
          <w:sz w:val="24"/>
          <w:szCs w:val="24"/>
        </w:rPr>
        <w:t>Emenda Aditiva</w:t>
      </w:r>
      <w:r w:rsidRPr="00BD45C6">
        <w:rPr>
          <w:rFonts w:ascii="Bookman Old Style" w:hAnsi="Bookman Old Style"/>
          <w:sz w:val="24"/>
          <w:szCs w:val="24"/>
        </w:rPr>
        <w:t xml:space="preserve"> ao Projeto de Lei nº </w:t>
      </w:r>
      <w:r w:rsidR="00F67372">
        <w:rPr>
          <w:rFonts w:ascii="Bookman Old Style" w:hAnsi="Bookman Old Style"/>
          <w:sz w:val="24"/>
          <w:szCs w:val="24"/>
        </w:rPr>
        <w:t>135</w:t>
      </w:r>
      <w:r w:rsidRPr="00BD45C6">
        <w:rPr>
          <w:rFonts w:ascii="Bookman Old Style" w:hAnsi="Bookman Old Style"/>
          <w:sz w:val="24"/>
          <w:szCs w:val="24"/>
        </w:rPr>
        <w:t>/2025:</w:t>
      </w:r>
    </w:p>
    <w:p w:rsidR="00BD45C6" w:rsidRPr="00BD45C6" w:rsidP="00BD45C6" w14:paraId="2F09A372" w14:textId="00753641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BD45C6">
        <w:rPr>
          <w:rFonts w:ascii="Bookman Old Style" w:hAnsi="Bookman Old Style"/>
          <w:b/>
          <w:bCs/>
          <w:sz w:val="24"/>
          <w:szCs w:val="24"/>
        </w:rPr>
        <w:t>Art. 1º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BD45C6">
        <w:rPr>
          <w:rFonts w:ascii="Bookman Old Style" w:hAnsi="Bookman Old Style"/>
          <w:sz w:val="24"/>
          <w:szCs w:val="24"/>
        </w:rPr>
        <w:t xml:space="preserve">Ficam acrescidos ao Art. 194-A do Projeto de Lei nº </w:t>
      </w:r>
      <w:r w:rsidR="00D3356E">
        <w:rPr>
          <w:rFonts w:ascii="Bookman Old Style" w:hAnsi="Bookman Old Style"/>
          <w:sz w:val="24"/>
          <w:szCs w:val="24"/>
        </w:rPr>
        <w:t>135</w:t>
      </w:r>
      <w:r w:rsidRPr="00BD45C6">
        <w:rPr>
          <w:rFonts w:ascii="Bookman Old Style" w:hAnsi="Bookman Old Style"/>
          <w:sz w:val="24"/>
          <w:szCs w:val="24"/>
        </w:rPr>
        <w:t>/2025 os seguintes parágrafos:</w:t>
      </w:r>
    </w:p>
    <w:p w:rsidR="00BD45C6" w:rsidRPr="00BD45C6" w:rsidP="00BD45C6" w14:paraId="1FD01FE3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D45C6">
        <w:rPr>
          <w:rFonts w:ascii="Bookman Old Style" w:hAnsi="Bookman Old Style"/>
          <w:sz w:val="24"/>
          <w:szCs w:val="24"/>
        </w:rPr>
        <w:t>“§ 3º. O pagamento do Imposto sobre a Transmissão Inter Vivos de Bens Imóveis – ITBI, inclusive quando parcelado nos termos deste artigo, poderá ser realizado por meio de cartão de crédito, conforme normas e procedimentos definidos pela Administração Municipal.”</w:t>
      </w:r>
    </w:p>
    <w:p w:rsidR="00BD45C6" w:rsidRPr="00BD45C6" w:rsidP="00BD45C6" w14:paraId="0E640848" w14:textId="385BD1F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D45C6">
        <w:rPr>
          <w:rFonts w:ascii="Bookman Old Style" w:hAnsi="Bookman Old Style"/>
          <w:sz w:val="24"/>
          <w:szCs w:val="24"/>
        </w:rPr>
        <w:t xml:space="preserve">“§ 4º. Fica isento do Imposto sobre a Transmissão Inter Vivos de Bens Imóveis – ITBI o portador de neoplasia maligna, titular do imóvel ou seu cônjuge, desde que o bem transmitido seja o único imóvel residencial da família, utilizado exclusivamente para moradia, e que a renda familiar não ultrapasse 3 (três) </w:t>
      </w:r>
      <w:r w:rsidRPr="00BD45C6" w:rsidR="005B3259">
        <w:rPr>
          <w:rFonts w:ascii="Bookman Old Style" w:hAnsi="Bookman Old Style"/>
          <w:sz w:val="24"/>
          <w:szCs w:val="24"/>
        </w:rPr>
        <w:t>salários-mínimos</w:t>
      </w:r>
      <w:r w:rsidRPr="00BD45C6">
        <w:rPr>
          <w:rFonts w:ascii="Bookman Old Style" w:hAnsi="Bookman Old Style"/>
          <w:sz w:val="24"/>
          <w:szCs w:val="24"/>
        </w:rPr>
        <w:t>, mediante apresentação de laudo médico emitido por instituição pública ou privada, inclusive pelo Sistema Único de Saúde – SUS.”</w:t>
      </w:r>
    </w:p>
    <w:p w:rsidR="00BD45C6" w:rsidRPr="00BD45C6" w:rsidP="00BD45C6" w14:paraId="2E9E6A34" w14:textId="5B8913AD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D45C6">
        <w:rPr>
          <w:rFonts w:ascii="Bookman Old Style" w:hAnsi="Bookman Old Style"/>
          <w:sz w:val="24"/>
          <w:szCs w:val="24"/>
        </w:rPr>
        <w:t xml:space="preserve">“§ 5º. Fica isento do ITBI o aposentado, pensionista ou beneficiário do Benefício de Prestação Continuada – BPC/LOAS que adquirir imóvel destinado à sua moradia, desde que o bem transmitido constitua o seu único imóvel </w:t>
      </w:r>
      <w:r w:rsidRPr="00BD45C6">
        <w:rPr>
          <w:rFonts w:ascii="Bookman Old Style" w:hAnsi="Bookman Old Style"/>
          <w:sz w:val="24"/>
          <w:szCs w:val="24"/>
        </w:rPr>
        <w:t xml:space="preserve">residencial e que a renda familiar não ultrapasse 3 (três) </w:t>
      </w:r>
      <w:r w:rsidRPr="00BD45C6" w:rsidR="005B3259">
        <w:rPr>
          <w:rFonts w:ascii="Bookman Old Style" w:hAnsi="Bookman Old Style"/>
          <w:sz w:val="24"/>
          <w:szCs w:val="24"/>
        </w:rPr>
        <w:t>salários-mínimos</w:t>
      </w:r>
      <w:r w:rsidRPr="00BD45C6">
        <w:rPr>
          <w:rFonts w:ascii="Bookman Old Style" w:hAnsi="Bookman Old Style"/>
          <w:sz w:val="24"/>
          <w:szCs w:val="24"/>
        </w:rPr>
        <w:t>, mediante requerimento à Administração Municipal.”</w:t>
      </w:r>
    </w:p>
    <w:p w:rsidR="00BD45C6" w:rsidRPr="00BD45C6" w:rsidP="00BD45C6" w14:paraId="0E5D21A3" w14:textId="5EFD3A78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</w:t>
      </w:r>
      <w:r w:rsidRPr="00BD45C6">
        <w:rPr>
          <w:rFonts w:ascii="Bookman Old Style" w:hAnsi="Bookman Old Style"/>
          <w:sz w:val="24"/>
          <w:szCs w:val="24"/>
        </w:rPr>
        <w:t>§ 6º. Fica isento do ITBI o proprietário pessoa física que adquirir seu único imóvel residencial, com área construída de até 49 m² (quarenta e nove metros quadrados), destinado exclusivamente à moradia própria, mediante apresentação da certidão de matrícula atualizada do Registro de Imóveis, emitida pelo cartório competente, para comprovação das características do bem.”</w:t>
      </w:r>
    </w:p>
    <w:p w:rsidR="00BD45C6" w:rsidP="00BD45C6" w14:paraId="25E02E67" w14:textId="61674C08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252095</wp:posOffset>
            </wp:positionH>
            <wp:positionV relativeFrom="paragraph">
              <wp:posOffset>1028700</wp:posOffset>
            </wp:positionV>
            <wp:extent cx="5850890" cy="3289300"/>
            <wp:effectExtent l="0" t="0" r="0" b="0"/>
            <wp:wrapNone/>
            <wp:docPr id="176795735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68751" name="Imagem 1767957358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D45C6">
        <w:rPr>
          <w:rFonts w:ascii="Bookman Old Style" w:hAnsi="Bookman Old Style"/>
          <w:sz w:val="24"/>
          <w:szCs w:val="24"/>
        </w:rPr>
        <w:t xml:space="preserve">“§ 7º. Fica isento do ITBI o adquirente pessoa física inscrito no Cadastro Único para Programas Sociais do Governo Federal – </w:t>
      </w:r>
      <w:r w:rsidRPr="00BD45C6">
        <w:rPr>
          <w:rFonts w:ascii="Bookman Old Style" w:hAnsi="Bookman Old Style"/>
          <w:sz w:val="24"/>
          <w:szCs w:val="24"/>
        </w:rPr>
        <w:t>CadÚnico</w:t>
      </w:r>
      <w:r w:rsidRPr="00BD45C6">
        <w:rPr>
          <w:rFonts w:ascii="Bookman Old Style" w:hAnsi="Bookman Old Style"/>
          <w:sz w:val="24"/>
          <w:szCs w:val="24"/>
        </w:rPr>
        <w:t xml:space="preserve">, cuja renda familiar mensal seja de até 3 (três) </w:t>
      </w:r>
      <w:r w:rsidRPr="00BD45C6">
        <w:rPr>
          <w:rFonts w:ascii="Bookman Old Style" w:hAnsi="Bookman Old Style"/>
          <w:sz w:val="24"/>
          <w:szCs w:val="24"/>
        </w:rPr>
        <w:t>salários-mínimos</w:t>
      </w:r>
      <w:r w:rsidRPr="00BD45C6">
        <w:rPr>
          <w:rFonts w:ascii="Bookman Old Style" w:hAnsi="Bookman Old Style"/>
          <w:sz w:val="24"/>
          <w:szCs w:val="24"/>
        </w:rPr>
        <w:t>, desde que o imóvel transmitido seja destinado exclusivamente à moradia própria.”</w:t>
      </w:r>
    </w:p>
    <w:p w:rsidR="00BD45C6" w:rsidRPr="00BD45C6" w:rsidP="00BD45C6" w14:paraId="1EB3ACCA" w14:textId="6D70A194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BD45C6">
        <w:rPr>
          <w:rFonts w:ascii="Bookman Old Style" w:hAnsi="Bookman Old Style"/>
          <w:b/>
          <w:bCs/>
          <w:sz w:val="24"/>
          <w:szCs w:val="24"/>
        </w:rPr>
        <w:t>Art. 2º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BD45C6">
        <w:rPr>
          <w:rFonts w:ascii="Bookman Old Style" w:hAnsi="Bookman Old Style"/>
          <w:sz w:val="24"/>
          <w:szCs w:val="24"/>
        </w:rPr>
        <w:t>Esta Emenda entra em vigor na data de sua publicação.</w:t>
      </w:r>
    </w:p>
    <w:p w:rsidR="00F67372" w:rsidP="00BD45C6" w14:paraId="63FBBA13" w14:textId="18F68016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/>
          <w:sz w:val="24"/>
          <w:szCs w:val="24"/>
        </w:rPr>
      </w:pPr>
      <w:r w:rsidRPr="00BD45C6">
        <w:rPr>
          <w:rFonts w:ascii="Bookman Old Style" w:hAnsi="Bookman Old Style"/>
          <w:sz w:val="24"/>
          <w:szCs w:val="24"/>
        </w:rPr>
        <w:t>Sala das Sessões,</w:t>
      </w:r>
      <w:r w:rsidR="00CA75C3">
        <w:rPr>
          <w:rFonts w:ascii="Bookman Old Style" w:hAnsi="Bookman Old Style"/>
          <w:sz w:val="24"/>
          <w:szCs w:val="24"/>
        </w:rPr>
        <w:t xml:space="preserve"> 2</w:t>
      </w:r>
      <w:r w:rsidR="000B2A1F">
        <w:rPr>
          <w:rFonts w:ascii="Bookman Old Style" w:hAnsi="Bookman Old Style"/>
          <w:sz w:val="24"/>
          <w:szCs w:val="24"/>
        </w:rPr>
        <w:t>2</w:t>
      </w:r>
      <w:r w:rsidR="00CA75C3">
        <w:rPr>
          <w:rFonts w:ascii="Bookman Old Style" w:hAnsi="Bookman Old Style"/>
          <w:sz w:val="24"/>
          <w:szCs w:val="24"/>
        </w:rPr>
        <w:t xml:space="preserve"> </w:t>
      </w:r>
      <w:r w:rsidRPr="00BD45C6">
        <w:rPr>
          <w:rFonts w:ascii="Bookman Old Style" w:hAnsi="Bookman Old Style"/>
          <w:sz w:val="24"/>
          <w:szCs w:val="24"/>
        </w:rPr>
        <w:t>de</w:t>
      </w:r>
      <w:r w:rsidR="00CA75C3">
        <w:rPr>
          <w:rFonts w:ascii="Bookman Old Style" w:hAnsi="Bookman Old Style"/>
          <w:sz w:val="24"/>
          <w:szCs w:val="24"/>
        </w:rPr>
        <w:t xml:space="preserve"> </w:t>
      </w:r>
      <w:r w:rsidR="000B2A1F">
        <w:rPr>
          <w:rFonts w:ascii="Bookman Old Style" w:hAnsi="Bookman Old Style"/>
          <w:sz w:val="24"/>
          <w:szCs w:val="24"/>
        </w:rPr>
        <w:t>setembro</w:t>
      </w:r>
      <w:r w:rsidR="00CA75C3">
        <w:rPr>
          <w:rFonts w:ascii="Bookman Old Style" w:hAnsi="Bookman Old Style"/>
          <w:sz w:val="24"/>
          <w:szCs w:val="24"/>
        </w:rPr>
        <w:t xml:space="preserve"> de</w:t>
      </w:r>
      <w:r w:rsidRPr="00BD45C6">
        <w:rPr>
          <w:rFonts w:ascii="Bookman Old Style" w:hAnsi="Bookman Old Style"/>
          <w:sz w:val="24"/>
          <w:szCs w:val="24"/>
        </w:rPr>
        <w:t xml:space="preserve"> 2026.</w:t>
      </w:r>
    </w:p>
    <w:p w:rsidR="00F67372" w:rsidP="00BD45C6" w14:paraId="638ABB55" w14:textId="77777777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/>
          <w:sz w:val="24"/>
          <w:szCs w:val="24"/>
        </w:rPr>
      </w:pPr>
    </w:p>
    <w:p w:rsidR="00F67372" w:rsidP="00BD45C6" w14:paraId="58EA5BE4" w14:textId="4B1E46B0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br/>
      </w:r>
    </w:p>
    <w:p w:rsidR="00BD45C6" w:rsidRPr="00F67372" w:rsidP="00F67372" w14:paraId="6DF87E12" w14:textId="305CD83E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F67372">
        <w:rPr>
          <w:rFonts w:ascii="Bookman Old Style" w:hAnsi="Bookman Old Style"/>
          <w:b/>
          <w:bCs/>
          <w:sz w:val="24"/>
          <w:szCs w:val="24"/>
        </w:rPr>
        <w:t>Professor Edinho</w:t>
      </w:r>
      <w:r w:rsidRPr="00F67372">
        <w:rPr>
          <w:rFonts w:ascii="Bookman Old Style" w:hAnsi="Bookman Old Style"/>
          <w:b/>
          <w:bCs/>
          <w:sz w:val="24"/>
          <w:szCs w:val="24"/>
        </w:rPr>
        <w:br/>
        <w:t>VEREADOR</w:t>
      </w:r>
      <w:r w:rsidRPr="00F67372" w:rsidR="00CA75C3">
        <w:rPr>
          <w:rFonts w:ascii="Bookman Old Style" w:hAnsi="Bookman Old Style"/>
          <w:b/>
          <w:bCs/>
          <w:sz w:val="24"/>
          <w:szCs w:val="24"/>
        </w:rPr>
        <w:br/>
      </w:r>
    </w:p>
    <w:p w:rsidR="00BD45C6" w:rsidRPr="00BD45C6" w:rsidP="00BD45C6" w14:paraId="1957F850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191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19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B2A1F"/>
    <w:rsid w:val="000D2BDC"/>
    <w:rsid w:val="00104AAA"/>
    <w:rsid w:val="0015657E"/>
    <w:rsid w:val="00156CF8"/>
    <w:rsid w:val="00460A32"/>
    <w:rsid w:val="004B2CC9"/>
    <w:rsid w:val="0051286F"/>
    <w:rsid w:val="00555731"/>
    <w:rsid w:val="005B3259"/>
    <w:rsid w:val="00601B0A"/>
    <w:rsid w:val="00625B45"/>
    <w:rsid w:val="00626437"/>
    <w:rsid w:val="00632FA0"/>
    <w:rsid w:val="006C41A4"/>
    <w:rsid w:val="006D1E9A"/>
    <w:rsid w:val="00800C90"/>
    <w:rsid w:val="00822396"/>
    <w:rsid w:val="008F11ED"/>
    <w:rsid w:val="0092798F"/>
    <w:rsid w:val="00A06CF2"/>
    <w:rsid w:val="00AE6AEE"/>
    <w:rsid w:val="00BD45C6"/>
    <w:rsid w:val="00C00C1E"/>
    <w:rsid w:val="00C36776"/>
    <w:rsid w:val="00C96AF1"/>
    <w:rsid w:val="00CA75C3"/>
    <w:rsid w:val="00CD6B58"/>
    <w:rsid w:val="00CF401E"/>
    <w:rsid w:val="00D3356E"/>
    <w:rsid w:val="00D41891"/>
    <w:rsid w:val="00D54AD5"/>
    <w:rsid w:val="00DC6C1D"/>
    <w:rsid w:val="00F673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BD45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BD45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BD45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BD45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1994</Characters>
  <Application>Microsoft Office Word</Application>
  <DocSecurity>8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2026-09-16T17:24:00Z</cp:lastPrinted>
  <dcterms:created xsi:type="dcterms:W3CDTF">2026-09-16T17:30:00Z</dcterms:created>
  <dcterms:modified xsi:type="dcterms:W3CDTF">2026-09-16T17:30:00Z</dcterms:modified>
</cp:coreProperties>
</file>