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00000" w:rsidRPr="00000000" w:rsidP="00000000" w14:paraId="00000001">
      <w:pPr>
        <w:spacing w:before="240" w:after="240" w:line="276" w:lineRule="auto"/>
        <w:jc w:val="center"/>
        <w:rPr>
          <w:rFonts w:ascii="Times New Roman" w:eastAsia="Times New Roman" w:hAnsi="Times New Roman" w:cs="Times New Roman"/>
          <w:b/>
          <w:bCs/>
          <w:sz w:val="28"/>
          <w:szCs w:val="28"/>
        </w:rPr>
      </w:pPr>
      <w:r w:rsidRPr="00000000">
        <w:rPr>
          <w:rFonts w:ascii="Times New Roman" w:eastAsia="Times New Roman" w:hAnsi="Times New Roman" w:cs="Times New Roman"/>
          <w:b/>
          <w:bCs/>
          <w:sz w:val="28"/>
          <w:szCs w:val="28"/>
          <w:rtl w:val="0"/>
        </w:rPr>
        <w:t>EXMO. SR. PRESIDENTE DA CÂMARA MUNICIPAL DE SUMARÉ</w:t>
      </w:r>
    </w:p>
    <w:p w:rsidR="00000000" w:rsidRPr="00000000" w:rsidP="00000000" w14:paraId="00000002">
      <w:pPr>
        <w:spacing w:line="276" w:lineRule="auto"/>
        <w:ind w:right="282"/>
        <w:jc w:val="right"/>
        <w:rPr>
          <w:rFonts w:ascii="Times New Roman" w:eastAsia="Times New Roman" w:hAnsi="Times New Roman" w:cs="Times New Roman"/>
          <w:b/>
          <w:bCs/>
          <w:sz w:val="24"/>
          <w:szCs w:val="24"/>
        </w:rPr>
      </w:pPr>
      <w:r w:rsidRPr="00000000">
        <w:rPr>
          <w:rFonts w:ascii="Times New Roman" w:eastAsia="Times New Roman" w:hAnsi="Times New Roman" w:cs="Times New Roman"/>
          <w:sz w:val="24"/>
          <w:szCs w:val="24"/>
          <w:highlight w:val="white"/>
          <w:rtl w:val="0"/>
        </w:rPr>
        <w:t xml:space="preserve">Apresento respeitosamente o </w:t>
      </w:r>
      <w:r w:rsidRPr="00000000">
        <w:rPr>
          <w:rFonts w:ascii="Times New Roman" w:eastAsia="Times New Roman" w:hAnsi="Times New Roman" w:cs="Times New Roman"/>
          <w:sz w:val="24"/>
          <w:szCs w:val="24"/>
          <w:rtl w:val="0"/>
        </w:rPr>
        <w:t xml:space="preserve">seguinte </w:t>
      </w:r>
      <w:r w:rsidRPr="00000000">
        <w:rPr>
          <w:rFonts w:ascii="Times New Roman" w:eastAsia="Times New Roman" w:hAnsi="Times New Roman" w:cs="Times New Roman"/>
          <w:b/>
          <w:bCs/>
          <w:sz w:val="24"/>
          <w:szCs w:val="24"/>
          <w:rtl w:val="0"/>
        </w:rPr>
        <w:t>PROJETO DE LEI</w:t>
      </w:r>
      <w:r w:rsidRPr="00000000">
        <w:rPr>
          <w:rFonts w:ascii="Times New Roman" w:eastAsia="Times New Roman" w:hAnsi="Times New Roman" w:cs="Times New Roman"/>
          <w:sz w:val="24"/>
          <w:szCs w:val="24"/>
          <w:rtl w:val="0"/>
        </w:rPr>
        <w:t xml:space="preserve">, que: </w:t>
      </w:r>
    </w:p>
    <w:p w:rsidR="00000000" w:rsidRPr="00000000" w:rsidP="00000000" w14:paraId="00000003">
      <w:pPr>
        <w:pStyle w:val="Heading2"/>
        <w:keepNext w:val="0"/>
        <w:keepLines w:val="0"/>
        <w:spacing w:line="240" w:lineRule="auto"/>
        <w:ind w:left="5244" w:firstLine="0"/>
        <w:jc w:val="both"/>
        <w:rPr>
          <w:rFonts w:ascii="Arial" w:eastAsia="Arial" w:hAnsi="Arial" w:cs="Arial"/>
          <w:sz w:val="26"/>
          <w:szCs w:val="26"/>
        </w:rPr>
      </w:pPr>
      <w:bookmarkStart w:id="0" w:name="_heading=h.xfh29c8e5983" w:colFirst="0" w:colLast="0"/>
      <w:bookmarkEnd w:id="0"/>
      <w:r w:rsidRPr="00000000">
        <w:rPr>
          <w:rFonts w:ascii="Arial" w:eastAsia="Arial" w:hAnsi="Arial" w:cs="Arial"/>
          <w:sz w:val="26"/>
          <w:szCs w:val="26"/>
          <w:rtl w:val="0"/>
        </w:rPr>
        <w:t xml:space="preserve">DISPÕE SOBRE DIRETRIZES PARA O RECEBIMENTO, A ANÁLISE E O APROVEITAMENTO DE EXAMES, LAUDOS E RELATÓRIOS EMITIDOS PELA REDE PRIVADA DE SAÚDE NO ÂMBITO DO SISTEMA ÚNICO DE SAÚDE (SUS) DO MUNICÍPIO DE SUMARÉ, E DÁ OUTRAS PROVIDÊNCIAS. </w:t>
      </w:r>
    </w:p>
    <w:p w:rsidR="00000000" w:rsidRPr="00000000" w:rsidP="00000000" w14:paraId="00000004">
      <w:pPr>
        <w:spacing w:before="120" w:after="0" w:line="240" w:lineRule="auto"/>
        <w:ind w:left="5244" w:firstLine="0"/>
        <w:jc w:val="both"/>
        <w:rPr>
          <w:rFonts w:ascii="Arial" w:eastAsia="Arial" w:hAnsi="Arial" w:cs="Arial"/>
          <w:sz w:val="24"/>
          <w:szCs w:val="24"/>
          <w:highlight w:val="white"/>
        </w:rPr>
      </w:pPr>
      <w:bookmarkStart w:id="1" w:name="_heading=h.j829se28cu09" w:colFirst="0" w:colLast="0"/>
      <w:bookmarkEnd w:id="1"/>
      <w:r w:rsidRPr="00000000">
        <w:rPr>
          <w:rFonts w:ascii="Arial" w:eastAsia="Arial" w:hAnsi="Arial" w:cs="Arial"/>
          <w:b/>
          <w:bCs/>
          <w:sz w:val="24"/>
          <w:szCs w:val="24"/>
          <w:rtl w:val="0"/>
        </w:rPr>
        <w:t xml:space="preserve">Autor: Vereador Allan Sangalli </w:t>
      </w:r>
    </w:p>
    <w:p w:rsidR="00000000" w:rsidRPr="00000000" w:rsidP="00000000" w14:paraId="00000005">
      <w:pPr>
        <w:tabs>
          <w:tab w:val="left" w:pos="567"/>
        </w:tabs>
        <w:spacing w:after="0" w:line="240" w:lineRule="auto"/>
        <w:jc w:val="both"/>
        <w:rPr>
          <w:rFonts w:ascii="Arial" w:eastAsia="Arial" w:hAnsi="Arial" w:cs="Arial"/>
          <w:sz w:val="24"/>
          <w:szCs w:val="24"/>
          <w:highlight w:val="white"/>
        </w:rPr>
      </w:pPr>
    </w:p>
    <w:p w:rsidR="00000000" w:rsidRPr="00000000" w:rsidP="00000000" w14:paraId="00000006">
      <w:pPr>
        <w:spacing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1º</w:t>
      </w:r>
      <w:r w:rsidRPr="00000000">
        <w:rPr>
          <w:rFonts w:ascii="Arial" w:eastAsia="Arial" w:hAnsi="Arial" w:cs="Arial"/>
          <w:sz w:val="24"/>
          <w:szCs w:val="24"/>
          <w:rtl w:val="0"/>
        </w:rPr>
        <w:t xml:space="preserve"> Ficam a rede pública municipal de saúde e os estabelecimentos conveniados ou contratualizados pelo Sistema Único de Saúde (SUS) no âmbito do município de Sumaré obrigados a receber, analisar e aproveitar exames, laudos, pareceres e relatórios emitidos por serviços ou profissionais da rede privada.</w:t>
      </w:r>
    </w:p>
    <w:p w:rsidR="00000000" w:rsidRPr="00000000" w:rsidP="00000000" w14:paraId="00000007">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2º</w:t>
      </w:r>
      <w:r w:rsidRPr="00000000">
        <w:rPr>
          <w:rFonts w:ascii="Arial" w:eastAsia="Arial" w:hAnsi="Arial" w:cs="Arial"/>
          <w:sz w:val="24"/>
          <w:szCs w:val="24"/>
          <w:rtl w:val="0"/>
        </w:rPr>
        <w:t xml:space="preserve"> Para os fins desta Lei, na Atenção Primária, Secundária e Especializada da rede municipal, poderão ser apresentados e considerados, entre outros: </w:t>
      </w:r>
    </w:p>
    <w:p w:rsidR="00000000" w:rsidRPr="00000000" w:rsidP="00000000" w14:paraId="00000008">
      <w:pPr>
        <w:spacing w:before="240" w:after="20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 - exames laboratoriais, anatomopatológicos, citopatológicos, genéticos e similares; </w:t>
      </w:r>
    </w:p>
    <w:p w:rsidR="00000000" w:rsidRPr="00000000" w:rsidP="00000000" w14:paraId="00000009">
      <w:pPr>
        <w:spacing w:before="0" w:after="20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II - exames de diagnóstico por imagem, inclusive radiografias, ultrassonografias, tomografias, ressonâncias magnéticas, mamografias e densitometrias; </w:t>
      </w:r>
    </w:p>
    <w:p w:rsidR="00000000" w:rsidRPr="00000000" w:rsidP="00000000" w14:paraId="0000000A">
      <w:pPr>
        <w:spacing w:before="0" w:after="20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III - exames cardiológicos, neurológicos, pneumológicos, oftalmológicos, otorrinolaringológicos, audiológicos, gastroenterológicos, urológicos, ginecológicos, odontológicos e de outras especialidades; </w:t>
      </w:r>
    </w:p>
    <w:p w:rsidR="00000000" w:rsidRPr="00000000" w:rsidP="00000000" w14:paraId="0000000B">
      <w:pPr>
        <w:spacing w:before="0" w:after="20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IV - laudos, relatórios, pareceres e avaliações médicas; </w:t>
      </w:r>
    </w:p>
    <w:p w:rsidR="00000000" w:rsidRPr="00000000" w:rsidP="00000000" w14:paraId="0000000C">
      <w:pPr>
        <w:spacing w:before="0" w:after="20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V - relatórios, pareceres e avaliações multiprofissionais emitidos por psicólogos, fonoaudiólogos, terapeutas ocupacionais, fisioterapeutas, nutricionistas, enfermeiros, cirurgiões-dentistas, assistentes sociais e outros profissionais de saúde legalmente habilitados; e </w:t>
      </w:r>
    </w:p>
    <w:p w:rsidR="00000000" w:rsidRPr="00000000" w:rsidP="00000000" w14:paraId="0000000D">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VI - documentos relacionados a deficiências, transtornos do neurodesenvolvimento, doenças raras, condições crônicas e saúde mental, inclusive Transtorno do Espectro Autista (TEA) e Transtorno do Déficit de Atenção com Hiperatividade (TDAH).</w:t>
      </w:r>
    </w:p>
    <w:p w:rsidR="00000000" w:rsidRPr="00000000" w:rsidP="00000000" w14:paraId="0000000E">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3º</w:t>
      </w:r>
      <w:r w:rsidRPr="00000000">
        <w:rPr>
          <w:rFonts w:ascii="Arial" w:eastAsia="Arial" w:hAnsi="Arial" w:cs="Arial"/>
          <w:sz w:val="24"/>
          <w:szCs w:val="24"/>
          <w:rtl w:val="0"/>
        </w:rPr>
        <w:t xml:space="preserve"> Os documentos referidos nesta Lei não poderão ser recusados exclusivamente por terem sido emitidos por serviço, laboratório, clínica ou profissional da rede privada, inclusive de outro Município, desde que demonstradas sua regularidade profissional e pertinência clínica. </w:t>
      </w:r>
    </w:p>
    <w:p w:rsidR="00000000" w:rsidRPr="00000000" w:rsidP="00000000" w14:paraId="0000000F">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 1º O aproveitamento do documento dependerá da avaliação técnica do profissional responsável pelo atendimento na rede municipal, preservada sua autonomia de conduta e observados os protocolos clínicos, as normas sanitárias e a legislação profissional aplicáveis. </w:t>
      </w:r>
    </w:p>
    <w:p w:rsidR="00000000" w:rsidRPr="00000000" w:rsidP="00000000" w14:paraId="00000010">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2º A apresentação do documento emitido na rede privada não garante, por si só, diagnóstico automático, prescrição, fornecimento imediato de medicamento, concessão de benefício ou prioridade de atendimento incompatível com os critérios de regulação assistencial do SUS.</w:t>
      </w:r>
    </w:p>
    <w:p w:rsidR="00000000" w:rsidRPr="00000000" w:rsidP="00000000" w14:paraId="00000011">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4º</w:t>
      </w:r>
      <w:r w:rsidRPr="00000000">
        <w:rPr>
          <w:rFonts w:ascii="Arial" w:eastAsia="Arial" w:hAnsi="Arial" w:cs="Arial"/>
          <w:sz w:val="24"/>
          <w:szCs w:val="24"/>
          <w:rtl w:val="0"/>
        </w:rPr>
        <w:t xml:space="preserve"> Para subsidiar a análise clínica, o documento apresentado deverá conter, preferencialmente: </w:t>
      </w:r>
    </w:p>
    <w:p w:rsidR="00000000" w:rsidRPr="00000000" w:rsidP="00000000" w14:paraId="00000012">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 - identificação do paciente; </w:t>
      </w:r>
    </w:p>
    <w:p w:rsidR="00000000" w:rsidRPr="00000000" w:rsidP="00000000" w14:paraId="00000013">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II - data de realização ou emissão; </w:t>
      </w:r>
    </w:p>
    <w:p w:rsidR="00000000" w:rsidRPr="00000000" w:rsidP="00000000" w14:paraId="00000014">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III - identificação do estabelecimento ou do profissional responsável;</w:t>
      </w:r>
    </w:p>
    <w:p w:rsidR="00000000" w:rsidRPr="00000000" w:rsidP="00000000" w14:paraId="00000015">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IV - assinatura física ou eletrônica e número de inscrição no respectivo conselho profissional de classe; </w:t>
      </w:r>
    </w:p>
    <w:p w:rsidR="00000000" w:rsidRPr="00000000" w:rsidP="00000000" w14:paraId="00000016">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V - resultado, conclusão, metodologia ou dados técnicos suficientes para subsidiar a conduta clínica; e </w:t>
      </w:r>
    </w:p>
    <w:p w:rsidR="00000000" w:rsidRPr="00000000" w:rsidP="00000000" w14:paraId="00000017">
      <w:pPr>
        <w:spacing w:before="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VI - condições de autenticidade, integridade e legibilidade. </w:t>
      </w:r>
    </w:p>
    <w:p w:rsidR="00000000" w:rsidRPr="00000000" w:rsidP="00000000" w14:paraId="00000018">
      <w:pPr>
        <w:spacing w:before="240" w:after="240" w:line="240" w:lineRule="auto"/>
        <w:ind w:firstLine="1417"/>
        <w:jc w:val="both"/>
        <w:rPr>
          <w:rFonts w:ascii="Arial" w:eastAsia="Arial" w:hAnsi="Arial" w:cs="Arial"/>
          <w:sz w:val="24"/>
          <w:szCs w:val="24"/>
        </w:rPr>
      </w:pPr>
      <w:r w:rsidRPr="00000000">
        <w:rPr>
          <w:rFonts w:ascii="Arial" w:eastAsia="Arial" w:hAnsi="Arial" w:cs="Arial"/>
          <w:i/>
          <w:iCs/>
          <w:sz w:val="24"/>
          <w:szCs w:val="24"/>
          <w:rtl w:val="0"/>
        </w:rPr>
        <w:t>Parágrafo único.</w:t>
      </w:r>
      <w:r w:rsidRPr="00000000">
        <w:rPr>
          <w:rFonts w:ascii="Arial" w:eastAsia="Arial" w:hAnsi="Arial" w:cs="Arial"/>
          <w:sz w:val="24"/>
          <w:szCs w:val="24"/>
          <w:rtl w:val="0"/>
        </w:rPr>
        <w:t xml:space="preserve"> A validade temporal do documento será avaliada pelo profissional de saúde conforme a natureza do exame, a evolução do quadro clínico do paciente e as diretrizes do Ministério da Saúde, não se adotando prazo fixo ou estanque para todos os casos.</w:t>
      </w:r>
    </w:p>
    <w:p w:rsidR="00000000" w:rsidRPr="00000000" w:rsidP="00000000" w14:paraId="00000019">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5º</w:t>
      </w:r>
      <w:r w:rsidRPr="00000000">
        <w:rPr>
          <w:rFonts w:ascii="Arial" w:eastAsia="Arial" w:hAnsi="Arial" w:cs="Arial"/>
          <w:sz w:val="24"/>
          <w:szCs w:val="24"/>
          <w:rtl w:val="0"/>
        </w:rPr>
        <w:t xml:space="preserve"> A solicitação de repetição de exame ou procedimento já realizado na rede privada dar-se-á mediante fundamentação técnica ou regulatória, observando-se, especialmente, as seguintes hipóteses: </w:t>
      </w:r>
    </w:p>
    <w:p w:rsidR="00000000" w:rsidRPr="00000000" w:rsidP="00000000" w14:paraId="0000001A">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 - documento incompleto, ilegível, sem identificação do emissor ou com autenticidade não verificável; </w:t>
      </w:r>
    </w:p>
    <w:p w:rsidR="00000000" w:rsidRPr="00000000" w:rsidP="00000000" w14:paraId="0000001B">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II - defasagem temporal incompatível com a finalidade do atendimento; </w:t>
      </w:r>
    </w:p>
    <w:p w:rsidR="00000000" w:rsidRPr="00000000" w:rsidP="00000000" w14:paraId="0000001C">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III - alteração relevante ou evolução do quadro de saúde do paciente; </w:t>
      </w:r>
    </w:p>
    <w:p w:rsidR="00000000" w:rsidRPr="00000000" w:rsidP="00000000" w14:paraId="0000001D">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IV - resultado inconclusivo, conflitante ou incompatível com a avaliação clínica presencial; </w:t>
      </w:r>
    </w:p>
    <w:p w:rsidR="00000000" w:rsidRPr="00000000" w:rsidP="00000000" w14:paraId="0000001E">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V - método ou qualidade técnica insuficiente para a tomada de decisão terapêutica; ou </w:t>
      </w:r>
    </w:p>
    <w:p w:rsidR="00000000" w:rsidRPr="00000000" w:rsidP="00000000" w14:paraId="0000001F">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VI - exigência expressa prevista em protocolo sanitário ou norma legal aplicável. </w:t>
      </w:r>
    </w:p>
    <w:p w:rsidR="00000000" w:rsidRPr="00000000" w:rsidP="00000000" w14:paraId="00000020">
      <w:pPr>
        <w:spacing w:before="240" w:after="240" w:line="240" w:lineRule="auto"/>
        <w:ind w:firstLine="1417"/>
        <w:jc w:val="both"/>
        <w:rPr>
          <w:rFonts w:ascii="Arial" w:eastAsia="Arial" w:hAnsi="Arial" w:cs="Arial"/>
          <w:sz w:val="24"/>
          <w:szCs w:val="24"/>
        </w:rPr>
      </w:pPr>
      <w:r w:rsidRPr="00000000">
        <w:rPr>
          <w:rFonts w:ascii="Arial" w:eastAsia="Arial" w:hAnsi="Arial" w:cs="Arial"/>
          <w:i/>
          <w:iCs/>
          <w:sz w:val="24"/>
          <w:szCs w:val="24"/>
          <w:rtl w:val="0"/>
        </w:rPr>
        <w:t>Parágrafo único.</w:t>
      </w:r>
      <w:r w:rsidRPr="00000000">
        <w:rPr>
          <w:rFonts w:ascii="Arial" w:eastAsia="Arial" w:hAnsi="Arial" w:cs="Arial"/>
          <w:sz w:val="24"/>
          <w:szCs w:val="24"/>
          <w:rtl w:val="0"/>
        </w:rPr>
        <w:t xml:space="preserve"> Sempre que tecnicamente viável, a razão da inadequação do documento ou da necessidade de nova testagem será explicitada ao paciente ou seu responsável legal.</w:t>
      </w:r>
    </w:p>
    <w:p w:rsidR="00000000" w:rsidRPr="00000000" w:rsidP="00000000" w14:paraId="00000021">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6º</w:t>
      </w:r>
      <w:r w:rsidRPr="00000000">
        <w:rPr>
          <w:rFonts w:ascii="Arial" w:eastAsia="Arial" w:hAnsi="Arial" w:cs="Arial"/>
          <w:sz w:val="24"/>
          <w:szCs w:val="24"/>
          <w:rtl w:val="0"/>
        </w:rPr>
        <w:t xml:space="preserve"> Os laudos, relatórios e pareceres atinentes ao TEA, TDAH, deficiências irreversíveis e demais transtornos do neurodesenvolvimento poderão ser utilizados para subsidiar o acolhimento, a regulação, a triagem e o acompanhamento na rede pública. </w:t>
      </w:r>
    </w:p>
    <w:p w:rsidR="00000000" w:rsidRPr="00000000" w:rsidP="00000000" w14:paraId="00000022">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 1º Admitir-se-ão documentos emitidos por profissionais médicos e equipes multiprofissionais devidamente registrados em seus órgãos de classe. </w:t>
      </w:r>
    </w:p>
    <w:p w:rsidR="00000000" w:rsidRPr="00000000" w:rsidP="00000000" w14:paraId="00000023">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2º Veda-se a exigência de renovação ou atualização periódica de laudo diagnóstico para condições permanentes ou irreversíveis, ressalvada a necessidade de acompanhamento evolutivo para ajuste terapêutico ou pedagógico.</w:t>
      </w:r>
    </w:p>
    <w:p w:rsidR="00000000" w:rsidRPr="00000000" w:rsidP="00000000" w14:paraId="00000024">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7º</w:t>
      </w:r>
      <w:r w:rsidRPr="00000000">
        <w:rPr>
          <w:rFonts w:ascii="Arial" w:eastAsia="Arial" w:hAnsi="Arial" w:cs="Arial"/>
          <w:sz w:val="24"/>
          <w:szCs w:val="24"/>
          <w:rtl w:val="0"/>
        </w:rPr>
        <w:t xml:space="preserve"> Os documentos poderão ser apresentados em formato físico ou digital, garantidos o sigilo das informações de saúde, o dever de confidencialidade e a observância da Lei Federal nº 13.709, de 14 de agosto de 2018 (Lei Geral de Proteção de Dados Pessoais - LGPD).</w:t>
      </w:r>
    </w:p>
    <w:p w:rsidR="00000000" w:rsidRPr="00000000" w:rsidP="00000000" w14:paraId="00000025">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8º</w:t>
      </w:r>
      <w:r w:rsidRPr="00000000">
        <w:rPr>
          <w:rFonts w:ascii="Arial" w:eastAsia="Arial" w:hAnsi="Arial" w:cs="Arial"/>
          <w:sz w:val="24"/>
          <w:szCs w:val="24"/>
          <w:rtl w:val="0"/>
        </w:rPr>
        <w:t xml:space="preserve"> O Poder Executivo deverá regulamentar esta Lei no que couber no prazo de 90 dias, visando à adequação aos fluxos administrativos e aos protocolos de regulação do SUS municipal.</w:t>
      </w:r>
    </w:p>
    <w:p w:rsidR="00000000" w:rsidRPr="00000000" w:rsidP="00000000" w14:paraId="00000026">
      <w:pPr>
        <w:spacing w:before="240" w:after="240" w:line="240" w:lineRule="auto"/>
        <w:ind w:firstLine="1417"/>
        <w:jc w:val="both"/>
        <w:rPr>
          <w:rFonts w:ascii="Arial" w:eastAsia="Arial" w:hAnsi="Arial" w:cs="Arial"/>
          <w:sz w:val="24"/>
          <w:szCs w:val="24"/>
        </w:rPr>
      </w:pPr>
      <w:r w:rsidRPr="00000000">
        <w:rPr>
          <w:rFonts w:ascii="Arial" w:eastAsia="Arial" w:hAnsi="Arial" w:cs="Arial"/>
          <w:b/>
          <w:bCs/>
          <w:sz w:val="24"/>
          <w:szCs w:val="24"/>
          <w:rtl w:val="0"/>
        </w:rPr>
        <w:t>Art. 9º</w:t>
      </w:r>
      <w:r w:rsidRPr="00000000">
        <w:rPr>
          <w:rFonts w:ascii="Arial" w:eastAsia="Arial" w:hAnsi="Arial" w:cs="Arial"/>
          <w:sz w:val="24"/>
          <w:szCs w:val="24"/>
          <w:rtl w:val="0"/>
        </w:rPr>
        <w:t xml:space="preserve"> Esta Lei entra em vigor na data de sua publicação.</w:t>
      </w:r>
      <w:r w:rsidRPr="00000000">
        <w:drawing>
          <wp:anchor distT="0" distB="0" distL="114300" distR="114300" simplePos="0" relativeHeight="251658240" behindDoc="0" locked="0" layoutInCell="1" allowOverlap="1">
            <wp:simplePos x="0" y="0"/>
            <wp:positionH relativeFrom="column">
              <wp:posOffset>1820390</wp:posOffset>
            </wp:positionH>
            <wp:positionV relativeFrom="paragraph">
              <wp:posOffset>314325</wp:posOffset>
            </wp:positionV>
            <wp:extent cx="2209603" cy="948756"/>
            <wp:effectExtent l="0" t="0" r="0" b="0"/>
            <wp:wrapSquare wrapText="bothSides"/>
            <wp:docPr id="13" name="image2.jpg"/>
            <wp:cNvGraphicFramePr/>
            <a:graphic xmlns:a="http://schemas.openxmlformats.org/drawingml/2006/main">
              <a:graphicData uri="http://schemas.openxmlformats.org/drawingml/2006/picture">
                <pic:pic xmlns:pic="http://schemas.openxmlformats.org/drawingml/2006/picture">
                  <pic:nvPicPr>
                    <pic:cNvPr id="2022156294" name="image2.jpg"/>
                    <pic:cNvPicPr/>
                  </pic:nvPicPr>
                  <pic:blipFill>
                    <a:blip xmlns:r="http://schemas.openxmlformats.org/officeDocument/2006/relationships" r:embed="rId5"/>
                    <a:srcRect l="34319" t="16370" r="28459" b="72316"/>
                    <a:stretch>
                      <a:fillRect/>
                    </a:stretch>
                  </pic:blipFill>
                  <pic:spPr>
                    <a:xfrm rot="10800000">
                      <a:off x="0" y="0"/>
                      <a:ext cx="2209603" cy="948756"/>
                    </a:xfrm>
                    <a:prstGeom prst="rect">
                      <a:avLst/>
                    </a:prstGeom>
                  </pic:spPr>
                </pic:pic>
              </a:graphicData>
            </a:graphic>
          </wp:anchor>
        </w:drawing>
      </w:r>
    </w:p>
    <w:p w:rsidR="00000000" w:rsidRPr="00000000" w:rsidP="00000000" w14:paraId="00000027">
      <w:pPr>
        <w:spacing w:before="240" w:after="240" w:line="240" w:lineRule="auto"/>
        <w:jc w:val="both"/>
        <w:rPr>
          <w:rFonts w:ascii="Arial" w:eastAsia="Arial" w:hAnsi="Arial" w:cs="Arial"/>
          <w:b/>
          <w:bCs/>
          <w:sz w:val="24"/>
          <w:szCs w:val="24"/>
        </w:rPr>
      </w:pPr>
    </w:p>
    <w:p w:rsidR="00000000" w:rsidRPr="00000000" w:rsidP="00000000" w14:paraId="00000028">
      <w:pPr>
        <w:spacing w:before="240" w:after="240" w:line="240" w:lineRule="auto"/>
        <w:jc w:val="both"/>
        <w:rPr>
          <w:rFonts w:ascii="Arial" w:eastAsia="Arial" w:hAnsi="Arial" w:cs="Arial"/>
          <w:sz w:val="24"/>
          <w:szCs w:val="24"/>
        </w:rPr>
      </w:pPr>
    </w:p>
    <w:p w:rsidR="00000000" w:rsidRPr="00000000" w:rsidP="00000000" w14:paraId="00000029">
      <w:pPr>
        <w:spacing w:before="240" w:after="240" w:line="240" w:lineRule="auto"/>
        <w:jc w:val="both"/>
        <w:rPr>
          <w:rFonts w:ascii="Arial" w:eastAsia="Arial" w:hAnsi="Arial" w:cs="Arial"/>
          <w:sz w:val="24"/>
          <w:szCs w:val="24"/>
        </w:rPr>
      </w:pPr>
    </w:p>
    <w:p w:rsidR="00000000" w:rsidRPr="00000000" w:rsidP="00000000" w14:paraId="0000002A">
      <w:pPr>
        <w:jc w:val="center"/>
        <w:rPr>
          <w:rFonts w:ascii="Arial" w:eastAsia="Arial" w:hAnsi="Arial" w:cs="Arial"/>
          <w:sz w:val="24"/>
          <w:szCs w:val="24"/>
        </w:rPr>
      </w:pPr>
      <w:r w:rsidRPr="00000000">
        <w:rPr>
          <w:rFonts w:ascii="Arial" w:eastAsia="Arial" w:hAnsi="Arial" w:cs="Arial"/>
          <w:sz w:val="24"/>
          <w:szCs w:val="24"/>
          <w:rtl w:val="0"/>
        </w:rPr>
        <w:t>Allan Sangalli</w:t>
      </w:r>
    </w:p>
    <w:p w:rsidR="00000000" w:rsidRPr="00000000" w:rsidP="00000000" w14:paraId="0000002B">
      <w:pPr>
        <w:jc w:val="center"/>
        <w:rPr>
          <w:rFonts w:ascii="Arial" w:eastAsia="Arial" w:hAnsi="Arial" w:cs="Arial"/>
          <w:b/>
          <w:bCs/>
          <w:sz w:val="46"/>
          <w:szCs w:val="46"/>
        </w:rPr>
      </w:pPr>
      <w:r w:rsidRPr="00000000">
        <w:rPr>
          <w:rFonts w:ascii="Arial" w:eastAsia="Arial" w:hAnsi="Arial" w:cs="Arial"/>
          <w:sz w:val="24"/>
          <w:szCs w:val="24"/>
          <w:rtl w:val="0"/>
        </w:rPr>
        <w:t>PSB</w:t>
      </w:r>
      <w:r w:rsidRPr="00000000">
        <w:br w:type="page"/>
      </w:r>
    </w:p>
    <w:p w:rsidR="00000000" w:rsidRPr="00000000" w:rsidP="00000000" w14:paraId="0000002C">
      <w:pPr>
        <w:spacing w:after="0" w:line="240" w:lineRule="auto"/>
        <w:ind w:left="720" w:firstLine="0"/>
        <w:jc w:val="center"/>
        <w:rPr>
          <w:rFonts w:ascii="Times New Roman" w:eastAsia="Times New Roman" w:hAnsi="Times New Roman" w:cs="Times New Roman"/>
          <w:b/>
          <w:bCs/>
          <w:sz w:val="24"/>
          <w:szCs w:val="24"/>
        </w:rPr>
      </w:pPr>
      <w:r w:rsidRPr="00000000">
        <w:rPr>
          <w:rFonts w:ascii="Times New Roman" w:eastAsia="Times New Roman" w:hAnsi="Times New Roman" w:cs="Times New Roman"/>
          <w:b/>
          <w:bCs/>
          <w:sz w:val="24"/>
          <w:szCs w:val="24"/>
          <w:rtl w:val="0"/>
        </w:rPr>
        <w:t>JUSTIFICATIVA</w:t>
      </w:r>
    </w:p>
    <w:p w:rsidR="00000000" w:rsidRPr="00000000" w:rsidP="00000000" w14:paraId="0000002D">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 xml:space="preserve">Nobres pares, </w:t>
      </w:r>
    </w:p>
    <w:p w:rsidR="00000000" w:rsidRPr="00000000" w:rsidP="00000000" w14:paraId="0000002E">
      <w:pPr>
        <w:spacing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O presente Projeto de Lei busca aperfeiçoar o atendimento no SUS de Sumaré ao fixar diretrizes para o aproveitamento de exames, laudos e relatórios emitidos pela rede privada.</w:t>
      </w:r>
    </w:p>
    <w:p w:rsidR="00000000" w:rsidRPr="00000000" w:rsidP="00000000" w14:paraId="0000002F">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Atualmente, é comum que munícipes realizem exames particulares ou em convênios para agilizar seu cuidado e, ao buscarem a continuidade do tratamento na rede pública, enfrentem a recusa desses documentos apenas por sua origem privada. A exigência de repetição desnecessária de procedimentos gera custos para o erário, sobrecarrega as filas de exames e atrasa o início do tratamento.</w:t>
      </w:r>
    </w:p>
    <w:p w:rsidR="00000000" w:rsidRPr="00000000" w:rsidP="00000000" w14:paraId="00000030">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A proposta promove a celeridade e a economia sem comprometer a segurança clínica, pois preserva integralmente a autonomia do profissional de saúde do SUS, que manterá a prerrogativa de solicitar novos exames sempre que houver dúvida técnica ou alteração no quadro do paciente. Além disso, desburocratiza o atendimento a pessoas com TEA, TDAH e deficiências permanentes, vedando a exigência descabida de novos laudos para condições irreversíveis.</w:t>
      </w:r>
    </w:p>
    <w:p w:rsidR="00000000" w:rsidRPr="00000000" w:rsidP="00000000" w14:paraId="00000031">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Trata-se de matéria de interesse local e proteção à saúde (Art. 30 e 198 da CF/88), alinhada à Lei Federal nº 8.080/1990 e às Leis nº 12.764/2012 e 14.254/2021. Por estabelecer diretrizes gerais de atendimento sem criar cargos ou despesas diretas, a proposição respeita a competência do Executivo.</w:t>
      </w:r>
    </w:p>
    <w:p w:rsidR="00000000" w:rsidRPr="00000000" w:rsidP="00000000" w14:paraId="00000032">
      <w:pPr>
        <w:spacing w:before="240" w:after="240" w:line="240" w:lineRule="auto"/>
        <w:ind w:firstLine="1417"/>
        <w:jc w:val="both"/>
        <w:rPr>
          <w:rFonts w:ascii="Arial" w:eastAsia="Arial" w:hAnsi="Arial" w:cs="Arial"/>
          <w:sz w:val="24"/>
          <w:szCs w:val="24"/>
        </w:rPr>
      </w:pPr>
      <w:r w:rsidRPr="00000000">
        <w:rPr>
          <w:rFonts w:ascii="Arial" w:eastAsia="Arial" w:hAnsi="Arial" w:cs="Arial"/>
          <w:sz w:val="24"/>
          <w:szCs w:val="24"/>
          <w:rtl w:val="0"/>
        </w:rPr>
        <w:t>Diante do claro alcance social e do benefício aos munícipes, solicito o apoio dos nobres Vereadores para sua aprovação.</w:t>
      </w:r>
    </w:p>
    <w:p w:rsidR="00000000" w:rsidRPr="00000000" w:rsidP="00000000" w14:paraId="00000033">
      <w:pPr>
        <w:ind w:firstLine="708"/>
        <w:jc w:val="right"/>
        <w:rPr>
          <w:rFonts w:ascii="Arial" w:eastAsia="Arial" w:hAnsi="Arial" w:cs="Arial"/>
          <w:sz w:val="24"/>
          <w:szCs w:val="24"/>
        </w:rPr>
      </w:pPr>
      <w:r w:rsidRPr="00000000">
        <w:rPr>
          <w:rFonts w:ascii="Arial" w:eastAsia="Arial" w:hAnsi="Arial" w:cs="Arial"/>
          <w:sz w:val="24"/>
          <w:szCs w:val="24"/>
          <w:rtl w:val="0"/>
        </w:rPr>
        <w:t>Sala das Sessões, 16 de setembro de 2026.</w:t>
      </w:r>
    </w:p>
    <w:p w:rsidR="00000000" w:rsidRPr="00000000" w:rsidP="00000000" w14:paraId="00000034">
      <w:pPr>
        <w:rPr>
          <w:rFonts w:ascii="Arial" w:eastAsia="Arial" w:hAnsi="Arial" w:cs="Arial"/>
          <w:sz w:val="24"/>
          <w:szCs w:val="24"/>
        </w:rPr>
      </w:pPr>
      <w:r w:rsidRPr="00000000">
        <w:drawing>
          <wp:anchor distT="0" distB="0" distL="114300" distR="114300" simplePos="0" relativeHeight="251659264" behindDoc="0" locked="0" layoutInCell="1" allowOverlap="1">
            <wp:simplePos x="0" y="0"/>
            <wp:positionH relativeFrom="column">
              <wp:posOffset>1839438</wp:posOffset>
            </wp:positionH>
            <wp:positionV relativeFrom="paragraph">
              <wp:posOffset>28575</wp:posOffset>
            </wp:positionV>
            <wp:extent cx="2174240" cy="932180"/>
            <wp:effectExtent l="0" t="0" r="0" b="0"/>
            <wp:wrapSquare wrapText="bothSides"/>
            <wp:docPr id="1118680768" name="image2.jpg"/>
            <wp:cNvGraphicFramePr/>
            <a:graphic xmlns:a="http://schemas.openxmlformats.org/drawingml/2006/main">
              <a:graphicData uri="http://schemas.openxmlformats.org/drawingml/2006/picture">
                <pic:pic xmlns:pic="http://schemas.openxmlformats.org/drawingml/2006/picture">
                  <pic:nvPicPr>
                    <pic:cNvPr id="1055420750" name="image2.jpg"/>
                    <pic:cNvPicPr/>
                  </pic:nvPicPr>
                  <pic:blipFill>
                    <a:blip xmlns:r="http://schemas.openxmlformats.org/officeDocument/2006/relationships" r:embed="rId5"/>
                    <a:srcRect l="34319" t="16370" r="28459" b="72316"/>
                    <a:stretch>
                      <a:fillRect/>
                    </a:stretch>
                  </pic:blipFill>
                  <pic:spPr>
                    <a:xfrm rot="10800000">
                      <a:off x="0" y="0"/>
                      <a:ext cx="2174240" cy="932180"/>
                    </a:xfrm>
                    <a:prstGeom prst="rect">
                      <a:avLst/>
                    </a:prstGeom>
                  </pic:spPr>
                </pic:pic>
              </a:graphicData>
            </a:graphic>
          </wp:anchor>
        </w:drawing>
      </w:r>
    </w:p>
    <w:p w:rsidR="00000000" w:rsidRPr="00000000" w:rsidP="00000000" w14:paraId="00000035">
      <w:pPr>
        <w:ind w:firstLine="708"/>
        <w:jc w:val="center"/>
        <w:rPr>
          <w:rFonts w:ascii="Arial" w:eastAsia="Arial" w:hAnsi="Arial" w:cs="Arial"/>
          <w:sz w:val="24"/>
          <w:szCs w:val="24"/>
        </w:rPr>
      </w:pPr>
    </w:p>
    <w:p w:rsidR="00000000" w:rsidRPr="00000000" w:rsidP="00000000" w14:paraId="00000036">
      <w:pPr>
        <w:ind w:firstLine="708"/>
        <w:jc w:val="center"/>
        <w:rPr>
          <w:rFonts w:ascii="Arial" w:eastAsia="Arial" w:hAnsi="Arial" w:cs="Arial"/>
          <w:sz w:val="24"/>
          <w:szCs w:val="24"/>
        </w:rPr>
      </w:pPr>
      <w:r w:rsidRPr="00000000">
        <w:rPr>
          <w:rFonts w:ascii="Arial" w:eastAsia="Arial" w:hAnsi="Arial" w:cs="Arial"/>
          <w:sz w:val="24"/>
          <w:szCs w:val="24"/>
          <w:rtl w:val="0"/>
        </w:rPr>
        <w:t xml:space="preserve"> </w:t>
      </w:r>
    </w:p>
    <w:p w:rsidR="00000000" w:rsidRPr="00000000" w:rsidP="00000000" w14:paraId="00000037">
      <w:pPr>
        <w:ind w:firstLine="708"/>
        <w:jc w:val="center"/>
        <w:rPr>
          <w:rFonts w:ascii="Arial" w:eastAsia="Arial" w:hAnsi="Arial" w:cs="Arial"/>
          <w:sz w:val="24"/>
          <w:szCs w:val="24"/>
        </w:rPr>
      </w:pPr>
    </w:p>
    <w:p w:rsidR="00000000" w:rsidRPr="00000000" w:rsidP="00000000" w14:paraId="00000038">
      <w:pPr>
        <w:jc w:val="center"/>
        <w:rPr>
          <w:rFonts w:ascii="Arial" w:eastAsia="Arial" w:hAnsi="Arial" w:cs="Arial"/>
          <w:sz w:val="24"/>
          <w:szCs w:val="24"/>
        </w:rPr>
      </w:pPr>
      <w:r w:rsidRPr="00000000">
        <w:rPr>
          <w:rFonts w:ascii="Arial" w:eastAsia="Arial" w:hAnsi="Arial" w:cs="Arial"/>
          <w:sz w:val="24"/>
          <w:szCs w:val="24"/>
          <w:rtl w:val="0"/>
        </w:rPr>
        <w:t>Allan Sangalli</w:t>
      </w:r>
    </w:p>
    <w:p w:rsidR="00000000" w:rsidRPr="00000000" w:rsidP="00000000" w14:paraId="00000039">
      <w:pPr>
        <w:jc w:val="center"/>
        <w:rPr>
          <w:rFonts w:ascii="Arial" w:eastAsia="Arial" w:hAnsi="Arial" w:cs="Arial"/>
          <w:sz w:val="24"/>
          <w:szCs w:val="24"/>
        </w:rPr>
      </w:pPr>
      <w:r w:rsidRPr="00000000">
        <w:rPr>
          <w:rFonts w:ascii="Arial" w:eastAsia="Arial" w:hAnsi="Arial" w:cs="Arial"/>
          <w:sz w:val="24"/>
          <w:szCs w:val="24"/>
          <w:rtl w:val="0"/>
        </w:rPr>
        <w:t>PSB</w:t>
      </w:r>
    </w:p>
    <w:sectPr>
      <w:headerReference w:type="default" r:id="rId6"/>
      <w:footerReference w:type="even" r:id="rId7"/>
      <w:footerReference w:type="default" r:id="rId8"/>
      <w:footerReference w:type="first" r:id="rId9"/>
      <w:pgSz w:w="11906" w:h="16838" w:orient="portrait"/>
      <w:pgMar w:top="1417" w:right="1274" w:bottom="1417" w:left="1418" w:header="708" w:footer="708"/>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sig w:usb0="00000000" w:usb1="00000000" w:usb2="00000000" w:usb3="00000000" w:csb0="00000001" w:csb1="00000000"/>
    <w:embedRegular r:id="rId1" w:fontKey="{C650EC2E-975E-438F-B9D7-AA37B19950B5}"/>
  </w:font>
  <w:font w:name="Times New Roman">
    <w:charset w:val="00"/>
    <w:family w:val="auto"/>
    <w:pitch w:val="default"/>
  </w:font>
  <w:font w:name="Georgia">
    <w:charset w:val="00"/>
    <w:family w:val="auto"/>
    <w:pitch w:val="default"/>
    <w:embedRegular r:id="rId2" w:fontKey="{82939985-5C21-4F6E-A974-18E3EC258807}"/>
  </w:font>
  <w:font w:name="Arial">
    <w:charset w:val="00"/>
    <w:family w:val="auto"/>
    <w:pitch w:val="default"/>
  </w:font>
  <w:font w:name="Cambria">
    <w:charset w:val="00"/>
    <w:family w:val="auto"/>
    <w:pitch w:val="default"/>
    <w:embedRegular r:id="rId3" w:fontKey="{6BFFA74E-35D8-4EBF-AB14-C77FAB15DD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3E">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3B">
    <w:bookmarkStart w:id="2" w:name="_heading=h.3znysh7" w:colFirst="0" w:colLast="0"/>
    <w:bookmarkEnd w:id="2"/>
    <w:r w:rsidRPr="00000000">
      <mc:AlternateContent>
        <mc:Choice Requires="wps">
          <w:drawing>
            <wp:anchor distT="0" distB="0" distL="114300" distR="114300" simplePos="0" relativeHeight="251661312" behindDoc="0" locked="0" layoutInCell="1" allowOverlap="1">
              <wp:simplePos x="0" y="0"/>
              <wp:positionH relativeFrom="column">
                <wp:posOffset>-400033</wp:posOffset>
              </wp:positionH>
              <wp:positionV relativeFrom="paragraph">
                <wp:posOffset>-69836</wp:posOffset>
              </wp:positionV>
              <wp:extent cx="6491027" cy="266700"/>
              <wp:effectExtent l="0" t="0" r="0" b="0"/>
              <wp:wrapNone/>
              <wp:docPr id="11" name=""/>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0"/>
                        <a:headEnd w="sm" len="sm"/>
                        <a:tailEnd w="sm" len="sm"/>
                      </a:ln>
                    </wps:spPr>
                    <wps:bodyPr spcFirstLastPara="1" wrap="square" lIns="91425" tIns="91425" rIns="91425" bIns="91425" anchor="ctr" anchorCtr="0"/>
                  </wps:wsp>
                </a:graphicData>
              </a:graphic>
            </wp:anchor>
          </w:drawing>
        </mc:Choice>
        <mc:Fallback>
          <w:drawing>
            <wp:anchor distT="0" distB="0" distL="114300" distR="114300" simplePos="0" relativeHeight="251662336" behindDoc="0" locked="0" layoutInCell="1" allowOverlap="1">
              <wp:simplePos x="0" y="0"/>
              <wp:positionH relativeFrom="column">
                <wp:posOffset>-400033</wp:posOffset>
              </wp:positionH>
              <wp:positionV relativeFrom="paragraph">
                <wp:posOffset>-69836</wp:posOffset>
              </wp:positionV>
              <wp:extent cx="6491027" cy="266700"/>
              <wp:effectExtent l="0" t="0" r="0" b="0"/>
              <wp:wrapNone/>
              <wp:docPr id="72272411" name="image3.png"/>
              <wp:cNvGraphicFramePr/>
              <a:graphic xmlns:a="http://schemas.openxmlformats.org/drawingml/2006/main">
                <a:graphicData uri="http://schemas.openxmlformats.org/drawingml/2006/picture">
                  <pic:pic xmlns:pic="http://schemas.openxmlformats.org/drawingml/2006/picture">
                    <pic:nvPicPr>
                      <pic:cNvPr id="517324682" name="image3.png"/>
                      <pic:cNvPicPr/>
                    </pic:nvPicPr>
                    <pic:blipFill>
                      <a:blip xmlns:r="http://schemas.openxmlformats.org/officeDocument/2006/relationships" r:embed="rId1"/>
                      <a:stretch>
                        <a:fillRect/>
                      </a:stretch>
                    </pic:blipFill>
                    <pic:spPr>
                      <a:xfrm>
                        <a:off x="0" y="0"/>
                        <a:ext cx="6491027" cy="266700"/>
                      </a:xfrm>
                      <a:prstGeom prst="rect">
                        <a:avLst/>
                      </a:prstGeom>
                    </pic:spPr>
                  </pic:pic>
                </a:graphicData>
              </a:graphic>
            </wp:anchor>
          </w:drawing>
        </mc:Fallback>
      </mc:AlternateContent>
    </w:r>
  </w:p>
  <w:p w:rsidR="00000000" w:rsidRPr="00000000" w:rsidP="00000000" w14:paraId="0000003C">
    <w:r w:rsidRPr="00000000">
      <w:rPr>
        <w:rtl w:val="0"/>
      </w:rP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3D">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3A">
    <w:r w:rsidRPr="00000000">
      <w:drawing>
        <wp:inline distT="0" distB="0" distL="0" distR="0">
          <wp:extent cx="1526058" cy="534121"/>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250638366"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sidRPr="00000000">
      <mc:AlternateContent>
        <mc:Choice Requires="wpg">
          <w:drawing>
            <wp:anchor distT="0" distB="0" distL="0" distR="0" simplePos="0" relativeHeight="251658240" behindDoc="1" locked="0" layoutInCell="1" allowOverlap="1">
              <wp:simplePos x="0" y="0"/>
              <wp:positionH relativeFrom="column">
                <wp:posOffset>-876286</wp:posOffset>
              </wp:positionH>
              <wp:positionV relativeFrom="paragraph">
                <wp:posOffset>0</wp:posOffset>
              </wp:positionV>
              <wp:extent cx="7557712" cy="10270358"/>
              <wp:effectExtent l="0" t="0" r="0" b="0"/>
              <wp:wrapNone/>
              <wp:docPr id="12" name=""/>
              <wp:cNvGraphicFramePr/>
              <a:graphic xmlns:a="http://schemas.openxmlformats.org/drawingml/2006/main">
                <a:graphicData uri="http://schemas.microsoft.com/office/word/2010/wordprocessingGroup">
                  <wpg:wgp xmlns:wpg="http://schemas.microsoft.com/office/word/2010/wordprocessingGroup">
                    <wpg:cNvGrpSpPr/>
                    <wpg:grpSpPr>
                      <a:xfrm>
                        <a:off x="1567125" y="0"/>
                        <a:ext cx="7557712" cy="10270358"/>
                        <a:chOff x="1567125" y="0"/>
                        <a:chExt cx="7557750" cy="7560000"/>
                      </a:xfrm>
                    </wpg:grpSpPr>
                    <wpg:grpSp>
                      <wpg:cNvGrpSpPr/>
                      <wpg:grpSpPr>
                        <a:xfrm>
                          <a:off x="1567144" y="0"/>
                          <a:ext cx="7557712" cy="7560000"/>
                          <a:chOff x="1567125" y="0"/>
                          <a:chExt cx="7557750" cy="7560000"/>
                        </a:xfrm>
                      </wpg:grpSpPr>
                      <wps:wsp xmlns:wps="http://schemas.microsoft.com/office/word/2010/wordprocessingShape">
                        <wps:cNvPr id="4" name="Shape 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6" name="Shape 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8" name="Shape 8"/>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0" name="Shape 10"/>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933778736" name="Shape 12"/>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4" name="Shape 1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6" name="Shape 1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8" name="Shape 18"/>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0" name="Shape 20"/>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2" name="Shape 22"/>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4" name="Shape 2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6" name="Shape 2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8" name="Shape 28"/>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30" name="Shape 30"/>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32" name="Shape 32"/>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34" name="Shape 3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36" name="Shape 3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44" y="0"/>
                                                            <a:chExt cx="7557712" cy="7560000"/>
                                                          </a:xfrm>
                                                        </wpg:grpSpPr>
                                                        <wps:wsp xmlns:wps="http://schemas.microsoft.com/office/word/2010/wordprocessingShape">
                                                          <wps:cNvPr id="38" name="Shape 38"/>
                                                          <wps:cNvSpPr/>
                                                          <wps:spPr>
                                                            <a:xfrm>
                                                              <a:off x="1567144" y="0"/>
                                                              <a:ext cx="755770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44" y="0"/>
                                                              <a:chExt cx="7557712" cy="7560000"/>
                                                            </a:xfrm>
                                                          </wpg:grpSpPr>
                                                          <wps:wsp xmlns:wps="http://schemas.microsoft.com/office/word/2010/wordprocessingShape">
                                                            <wps:cNvPr id="40" name="Shape 40"/>
                                                            <wps:cNvSpPr/>
                                                            <wps:spPr>
                                                              <a:xfrm>
                                                                <a:off x="1567144" y="0"/>
                                                                <a:ext cx="755770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44" y="0"/>
                                                                <a:chExt cx="7557712" cy="7560000"/>
                                                              </a:xfrm>
                                                            </wpg:grpSpPr>
                                                            <wps:wsp xmlns:wps="http://schemas.microsoft.com/office/word/2010/wordprocessingShape">
                                                              <wps:cNvPr id="42" name="Shape 42"/>
                                                              <wps:cNvSpPr/>
                                                              <wps:spPr>
                                                                <a:xfrm>
                                                                  <a:off x="1567144" y="0"/>
                                                                  <a:ext cx="755770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0" y="0"/>
                                                                  <a:chExt cx="7557712" cy="10270358"/>
                                                                </a:xfrm>
                                                              </wpg:grpSpPr>
                                                              <wps:wsp xmlns:wps="http://schemas.microsoft.com/office/word/2010/wordprocessingShape">
                                                                <wps:cNvPr id="44" name="Shape 44"/>
                                                                <wps:cNvSpPr/>
                                                                <wps:spPr>
                                                                  <a:xfrm>
                                                                    <a:off x="0" y="0"/>
                                                                    <a:ext cx="7557700" cy="1027035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s:wsp xmlns:wps="http://schemas.microsoft.com/office/word/2010/wordprocessingShape">
                                                                <wps:cNvPr id="45" name="Shape 45"/>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46" name="Shape 46"/>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47" name="Shape 47"/>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grpSp>
                                                      </wpg:grpSp>
                                                    </wpg:grpSp>
                                                  </wpg:grpSp>
                                                </wpg:grpSp>
                                              </wpg:grpSp>
                                            </wpg:grpSp>
                                          </wpg:grpSp>
                                        </wpg:grpSp>
                                      </wpg:grpSp>
                                    </wpg:grpSp>
                                  </wpg:grpSp>
                                </wpg:grpSp>
                              </wpg:grpSp>
                            </wpg:grpSp>
                          </wpg:grpSp>
                        </wpg:grpSp>
                      </wpg:grpSp>
                    </wpg:grpSp>
                  </wpg:wgp>
                </a:graphicData>
              </a:graphic>
            </wp:anchor>
          </w:drawing>
        </mc:Choice>
        <mc:Fallback>
          <w:drawing>
            <wp:anchor distT="0" distB="0" distL="0" distR="0" simplePos="0" relativeHeight="251660288" behindDoc="1" locked="0" layoutInCell="1" allowOverlap="1">
              <wp:simplePos x="0" y="0"/>
              <wp:positionH relativeFrom="column">
                <wp:posOffset>-876286</wp:posOffset>
              </wp:positionH>
              <wp:positionV relativeFrom="paragraph">
                <wp:posOffset>0</wp:posOffset>
              </wp:positionV>
              <wp:extent cx="7557712" cy="10270358"/>
              <wp:effectExtent l="0" t="0" r="0" b="0"/>
              <wp:wrapNone/>
              <wp:docPr id="1146967969" name="image4.png"/>
              <wp:cNvGraphicFramePr/>
              <a:graphic xmlns:a="http://schemas.openxmlformats.org/drawingml/2006/main">
                <a:graphicData uri="http://schemas.openxmlformats.org/drawingml/2006/picture">
                  <pic:pic xmlns:pic="http://schemas.openxmlformats.org/drawingml/2006/picture">
                    <pic:nvPicPr>
                      <pic:cNvPr id="1867605909" name="image4.png"/>
                      <pic:cNvPicPr/>
                    </pic:nvPicPr>
                    <pic:blipFill>
                      <a:blip xmlns:r="http://schemas.openxmlformats.org/officeDocument/2006/relationships" r:embed="rId2"/>
                      <a:stretch>
                        <a:fillRect/>
                      </a:stretch>
                    </pic:blipFill>
                    <pic:spPr>
                      <a:xfrm>
                        <a:off x="0" y="0"/>
                        <a:ext cx="7557712" cy="10270358"/>
                      </a:xfrm>
                      <a:prstGeom prst="rect">
                        <a:avLst/>
                      </a:prstGeom>
                    </pic:spPr>
                  </pic:pic>
                </a:graphicData>
              </a:graphic>
            </wp:anchor>
          </w:drawing>
        </mc:Fallback>
      </mc:AlternateContent>
    </w:r>
    <w:r w:rsidRPr="00000000">
      <w:drawing>
        <wp:anchor simplePos="0" relativeHeight="251659264" behindDoc="0" locked="0" layoutInCell="1" allowOverlap="1">
          <wp:simplePos x="0" y="0"/>
          <wp:positionH relativeFrom="rightMargin">
            <wp:align>center</wp:align>
          </wp:positionH>
          <wp:positionV relativeFrom="page">
            <wp:align>center</wp:align>
          </wp:positionV>
          <wp:extent cx="381000" cy="6724650"/>
          <wp:wrapNone/>
          <wp:docPr id="10005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
                  <pic:cNvPicPr>
                    <a:picLocks noChangeAspect="1"/>
                  </pic:cNvPicPr>
                </pic:nvPicPr>
                <pic:blipFill>
                  <a:blip xmlns:r="http://schemas.openxmlformats.org/officeDocument/2006/relationships" r:embed="rId3"/>
                  <a:stretch>
                    <a:fillRect/>
                  </a:stretch>
                </pic:blipFill>
                <pic:spPr>
                  <a:xfrm>
                    <a:off x="0" y="0"/>
                    <a:ext cx="381000" cy="67246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1"/>
    <w:next w:val="normal1"/>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outlineLvl w:val="0"/>
    </w:pPr>
    <w:rPr>
      <w:rFonts w:ascii="Calibri" w:eastAsia="Calibri" w:hAnsi="Calibri" w:cs="Calibri"/>
      <w:b/>
      <w:bCs/>
      <w:i w:val="0"/>
      <w:iCs w:val="0"/>
      <w:smallCaps w:val="0"/>
      <w:strike w:val="0"/>
      <w:color w:val="000000"/>
      <w:sz w:val="48"/>
      <w:szCs w:val="48"/>
      <w:u w:val="none"/>
      <w:shd w:val="clear" w:color="auto" w:fill="auto"/>
      <w:vertAlign w:val="baseline"/>
    </w:rPr>
  </w:style>
  <w:style w:type="paragraph" w:styleId="Heading2">
    <w:name w:val="heading 2"/>
    <w:basedOn w:val="normal1"/>
    <w:next w:val="normal1"/>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outlineLvl w:val="1"/>
    </w:pPr>
    <w:rPr>
      <w:rFonts w:ascii="Calibri" w:eastAsia="Calibri" w:hAnsi="Calibri" w:cs="Calibri"/>
      <w:b/>
      <w:bCs/>
      <w:i w:val="0"/>
      <w:iCs w:val="0"/>
      <w:smallCaps w:val="0"/>
      <w:strike w:val="0"/>
      <w:color w:val="000000"/>
      <w:sz w:val="36"/>
      <w:szCs w:val="36"/>
      <w:u w:val="none"/>
      <w:shd w:val="clear" w:color="auto" w:fill="auto"/>
      <w:vertAlign w:val="baseline"/>
    </w:rPr>
  </w:style>
  <w:style w:type="paragraph" w:styleId="Heading3">
    <w:name w:val="heading 3"/>
    <w:basedOn w:val="normal1"/>
    <w:next w:val="normal1"/>
    <w:pPr>
      <w:keepNext w:val="0"/>
      <w:keepLines w:val="0"/>
      <w:pageBreakBefore w:val="0"/>
      <w:widowControl/>
      <w:pBdr>
        <w:top w:val="nil"/>
        <w:left w:val="nil"/>
        <w:bottom w:val="nil"/>
        <w:right w:val="nil"/>
        <w:between w:val="nil"/>
      </w:pBdr>
      <w:shd w:val="clear" w:color="auto" w:fill="auto"/>
      <w:spacing w:before="0" w:after="16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7"/>
      <w:szCs w:val="27"/>
      <w:u w:val="none"/>
      <w:shd w:val="clear" w:color="auto" w:fill="auto"/>
      <w:vertAlign w:val="baseline"/>
    </w:rPr>
  </w:style>
  <w:style w:type="paragraph" w:styleId="Heading4">
    <w:name w:val="heading 4"/>
    <w:basedOn w:val="normal1"/>
    <w:next w:val="normal1"/>
    <w:pPr>
      <w:keepNext/>
      <w:keepLines/>
      <w:pageBreakBefore w:val="0"/>
      <w:widowControl/>
      <w:pBdr>
        <w:top w:val="nil"/>
        <w:left w:val="nil"/>
        <w:bottom w:val="nil"/>
        <w:right w:val="nil"/>
        <w:between w:val="nil"/>
      </w:pBdr>
      <w:shd w:val="clear" w:color="auto" w:fill="auto"/>
      <w:spacing w:before="240" w:after="40" w:line="259" w:lineRule="auto"/>
      <w:ind w:left="0" w:right="0" w:firstLine="0"/>
      <w:jc w:val="left"/>
      <w:outlineLvl w:val="3"/>
    </w:pPr>
    <w:rPr>
      <w:rFonts w:ascii="Calibri" w:eastAsia="Calibri" w:hAnsi="Calibri" w:cs="Calibri"/>
      <w:b/>
      <w:bCs/>
      <w:i w:val="0"/>
      <w:iCs w:val="0"/>
      <w:smallCaps w:val="0"/>
      <w:strike w:val="0"/>
      <w:color w:val="000000"/>
      <w:sz w:val="24"/>
      <w:szCs w:val="24"/>
      <w:u w:val="none"/>
      <w:shd w:val="clear" w:color="auto" w:fill="auto"/>
      <w:vertAlign w:val="baseline"/>
    </w:rPr>
  </w:style>
  <w:style w:type="paragraph" w:styleId="Heading5">
    <w:name w:val="heading 5"/>
    <w:basedOn w:val="normal1"/>
    <w:next w:val="normal1"/>
    <w:pPr>
      <w:keepNext/>
      <w:keepLines/>
      <w:pageBreakBefore w:val="0"/>
      <w:widowControl/>
      <w:pBdr>
        <w:top w:val="nil"/>
        <w:left w:val="nil"/>
        <w:bottom w:val="nil"/>
        <w:right w:val="nil"/>
        <w:between w:val="nil"/>
      </w:pBdr>
      <w:shd w:val="clear" w:color="auto" w:fill="auto"/>
      <w:spacing w:before="220" w:after="40" w:line="259" w:lineRule="auto"/>
      <w:ind w:left="0" w:right="0" w:firstLine="0"/>
      <w:jc w:val="left"/>
      <w:outlineLvl w:val="4"/>
    </w:pPr>
    <w:rPr>
      <w:rFonts w:ascii="Calibri" w:eastAsia="Calibri" w:hAnsi="Calibri" w:cs="Calibri"/>
      <w:b/>
      <w:bCs/>
      <w:i w:val="0"/>
      <w:iCs w:val="0"/>
      <w:smallCaps w:val="0"/>
      <w:strike w:val="0"/>
      <w:color w:val="000000"/>
      <w:sz w:val="22"/>
      <w:szCs w:val="22"/>
      <w:u w:val="none"/>
      <w:shd w:val="clear" w:color="auto" w:fill="auto"/>
      <w:vertAlign w:val="baseline"/>
    </w:rPr>
  </w:style>
  <w:style w:type="paragraph" w:styleId="Heading6">
    <w:name w:val="heading 6"/>
    <w:basedOn w:val="normal1"/>
    <w:next w:val="normal1"/>
    <w:pPr>
      <w:keepNext/>
      <w:keepLines/>
      <w:pageBreakBefore w:val="0"/>
      <w:widowControl/>
      <w:pBdr>
        <w:top w:val="nil"/>
        <w:left w:val="nil"/>
        <w:bottom w:val="nil"/>
        <w:right w:val="nil"/>
        <w:between w:val="nil"/>
      </w:pBdr>
      <w:shd w:val="clear" w:color="auto" w:fill="auto"/>
      <w:spacing w:before="200" w:after="40" w:line="259" w:lineRule="auto"/>
      <w:ind w:left="0" w:right="0" w:firstLine="0"/>
      <w:jc w:val="left"/>
      <w:outlineLvl w:val="5"/>
    </w:pPr>
    <w:rPr>
      <w:rFonts w:ascii="Calibri" w:eastAsia="Calibri" w:hAnsi="Calibri" w:cs="Calibri"/>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1"/>
    <w:next w:val="normal1"/>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pPr>
    <w:rPr>
      <w:rFonts w:ascii="Calibri" w:eastAsia="Calibri" w:hAnsi="Calibri" w:cs="Calibri"/>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Normal1">
    <w:name w:val="TableNormal_1"/>
    <w:tblPr>
      <w:tblCellMar>
        <w:top w:w="100" w:type="dxa"/>
        <w:left w:w="100" w:type="dxa"/>
        <w:bottom w:w="100" w:type="dxa"/>
        <w:right w:w="100" w:type="dxa"/>
      </w:tblCellMar>
    </w:tblPr>
  </w:style>
  <w:style w:type="paragraph" w:customStyle="1" w:styleId="normal1">
    <w:name w:val="normal_1"/>
  </w:style>
  <w:style w:type="paragraph" w:styleId="Subtitle">
    <w:name w:val="Subtitle"/>
    <w:basedOn w:val="normal1"/>
    <w:next w:val="normal1"/>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V2a9aSXxH5JHl8MvQcoMkDfeZw==">CgMxLjAyDmgueGZoMjljOGU1OTgzMg5oLmo4MjlzZTI4Y3UwOTIJaC4zem55c2g3OAByITE0TGJpNFZLNzZ3UkQwYThpUUlBRFdvSl9DbVl5Qi13Sg==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