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E487A" w:rsidP="005E487A" w14:paraId="3C6AB99D" w14:textId="60D9E9D9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 w:rsid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 n</w:t>
      </w:r>
      <w:r w:rsidR="007D55F6">
        <w:rPr>
          <w:rFonts w:ascii="Bookman Old Style" w:hAnsi="Bookman Old Style" w:cs="Arial"/>
          <w:sz w:val="24"/>
          <w:szCs w:val="24"/>
        </w:rPr>
        <w:t xml:space="preserve">os arredores da ponte do Jardim </w:t>
      </w:r>
      <w:r w:rsidR="007D55F6">
        <w:rPr>
          <w:rFonts w:ascii="Bookman Old Style" w:hAnsi="Bookman Old Style" w:cs="Arial"/>
          <w:sz w:val="24"/>
          <w:szCs w:val="24"/>
        </w:rPr>
        <w:t>Lúcelia</w:t>
      </w:r>
      <w:r w:rsidR="007D55F6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55EF5EB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F37C19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F37C19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7401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2272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64D7C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D55F6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5668D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37C19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A5ECD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2026-09-14T13:36:00Z</dcterms:created>
  <dcterms:modified xsi:type="dcterms:W3CDTF">2026-09-14T13:36:00Z</dcterms:modified>
</cp:coreProperties>
</file>