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E487A" w:rsidP="005E487A" w14:paraId="3C6AB99D" w14:textId="6E462F24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 w:rsid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 </w:t>
      </w:r>
      <w:r w:rsidR="00E15BBE">
        <w:rPr>
          <w:rFonts w:ascii="Bookman Old Style" w:hAnsi="Bookman Old Style" w:cs="Arial"/>
          <w:sz w:val="24"/>
          <w:szCs w:val="24"/>
        </w:rPr>
        <w:t xml:space="preserve">em toda a Av. Fuad Assef Maluf, região do </w:t>
      </w:r>
      <w:r w:rsidR="00E15BBE">
        <w:rPr>
          <w:rFonts w:ascii="Bookman Old Style" w:hAnsi="Bookman Old Style" w:cs="Arial"/>
          <w:sz w:val="24"/>
          <w:szCs w:val="24"/>
        </w:rPr>
        <w:t>Picerno</w:t>
      </w:r>
      <w:r w:rsidR="00E15BBE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27277C4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F240C7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F240C7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564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2272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D55F6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2E4B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5DDC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5BBE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40C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A5ECD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2026-09-14T13:23:00Z</dcterms:created>
  <dcterms:modified xsi:type="dcterms:W3CDTF">2026-09-14T13:23:00Z</dcterms:modified>
</cp:coreProperties>
</file>