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874F4D" w:rsidRPr="00874F4D" w:rsidP="00874F4D" w14:paraId="37436BAE" w14:textId="77777777">
      <w:pPr>
        <w:spacing w:after="240" w:line="300" w:lineRule="auto"/>
        <w:jc w:val="center"/>
        <w:rPr>
          <w:rFonts w:ascii="Arial" w:hAnsi="Arial" w:cs="Arial"/>
        </w:rPr>
      </w:pPr>
      <w:r w:rsidRPr="00874F4D">
        <w:rPr>
          <w:rFonts w:ascii="Arial" w:eastAsia="Times New Roman" w:hAnsi="Arial" w:cs="Arial"/>
          <w:b/>
          <w:bCs/>
          <w:sz w:val="24"/>
          <w:szCs w:val="24"/>
        </w:rPr>
        <w:t>EXCELENTÍSSIMO SENHOR PRESIDENTE</w:t>
      </w:r>
      <w:r w:rsidRPr="00874F4D">
        <w:rPr>
          <w:rFonts w:ascii="Arial" w:eastAsia="Times New Roman" w:hAnsi="Arial" w:cs="Arial"/>
          <w:b/>
          <w:bCs/>
          <w:sz w:val="24"/>
          <w:szCs w:val="24"/>
        </w:rPr>
        <w:t xml:space="preserve"> DA CÂMARA MUNICIPAL DE SUMARÉ</w:t>
      </w:r>
    </w:p>
    <w:p w:rsidR="00874F4D" w:rsidRPr="00874F4D" w:rsidP="00D35DA1" w14:paraId="3086B340" w14:textId="77777777">
      <w:pPr>
        <w:spacing w:after="180" w:line="300" w:lineRule="auto"/>
        <w:jc w:val="right"/>
        <w:rPr>
          <w:rFonts w:ascii="Arial" w:hAnsi="Arial" w:cs="Arial"/>
        </w:rPr>
      </w:pPr>
      <w:r w:rsidRPr="00874F4D">
        <w:rPr>
          <w:rFonts w:ascii="Arial" w:eastAsia="Times New Roman" w:hAnsi="Arial" w:cs="Arial"/>
          <w:sz w:val="24"/>
          <w:szCs w:val="24"/>
        </w:rPr>
        <w:t xml:space="preserve">Apresento respeitosamente o seguinte </w:t>
      </w:r>
      <w:r w:rsidRPr="00874F4D">
        <w:rPr>
          <w:rFonts w:ascii="Arial" w:eastAsia="Times New Roman" w:hAnsi="Arial" w:cs="Arial"/>
          <w:b/>
          <w:bCs/>
          <w:sz w:val="24"/>
          <w:szCs w:val="24"/>
        </w:rPr>
        <w:t>PROJETO DE LEI</w:t>
      </w:r>
      <w:r w:rsidRPr="00874F4D">
        <w:rPr>
          <w:rFonts w:ascii="Arial" w:eastAsia="Times New Roman" w:hAnsi="Arial" w:cs="Arial"/>
          <w:sz w:val="24"/>
          <w:szCs w:val="24"/>
        </w:rPr>
        <w:t>, que:</w:t>
      </w:r>
    </w:p>
    <w:p w:rsidR="00874F4D" w:rsidRPr="00874F4D" w:rsidP="00874F4D" w14:paraId="3A9776AB" w14:textId="77777777">
      <w:pPr>
        <w:spacing w:after="240" w:line="276" w:lineRule="auto"/>
        <w:ind w:left="4536"/>
        <w:jc w:val="both"/>
        <w:rPr>
          <w:rFonts w:ascii="Arial" w:hAnsi="Arial" w:cs="Arial"/>
        </w:rPr>
      </w:pPr>
      <w:r w:rsidRPr="00874F4D">
        <w:rPr>
          <w:rFonts w:ascii="Arial" w:eastAsia="Times New Roman" w:hAnsi="Arial" w:cs="Arial"/>
          <w:b/>
          <w:bCs/>
          <w:sz w:val="24"/>
          <w:szCs w:val="24"/>
        </w:rPr>
        <w:t>"Institui, nas unidades da rede municipal de saúde, o dever de divulgação de informações sobre o Programa Farmácia Popular do Brasil e sobre os canais de acesso gratuito a medicamentos, e dá outras providências."</w:t>
      </w:r>
    </w:p>
    <w:p w:rsidR="00874F4D" w:rsidRPr="00874F4D" w:rsidP="00874F4D" w14:paraId="5FB03E7C" w14:textId="77777777">
      <w:pPr>
        <w:spacing w:after="360"/>
        <w:ind w:left="4536"/>
        <w:rPr>
          <w:rFonts w:ascii="Arial" w:hAnsi="Arial" w:cs="Arial"/>
        </w:rPr>
      </w:pPr>
      <w:r w:rsidRPr="00874F4D">
        <w:rPr>
          <w:rFonts w:ascii="Arial" w:eastAsia="Times New Roman" w:hAnsi="Arial" w:cs="Arial"/>
          <w:b/>
          <w:bCs/>
          <w:sz w:val="24"/>
          <w:szCs w:val="24"/>
        </w:rPr>
        <w:t>Autor: César Bianchi</w:t>
      </w:r>
    </w:p>
    <w:p w:rsidR="00874F4D" w:rsidRPr="00874F4D" w:rsidP="00874F4D" w14:paraId="0759F603" w14:textId="77777777">
      <w:pPr>
        <w:spacing w:after="300" w:line="360" w:lineRule="auto"/>
        <w:ind w:firstLine="709"/>
        <w:jc w:val="both"/>
        <w:rPr>
          <w:rFonts w:ascii="Arial" w:hAnsi="Arial" w:cs="Arial"/>
        </w:rPr>
      </w:pPr>
      <w:r w:rsidRPr="00874F4D">
        <w:rPr>
          <w:rFonts w:ascii="Arial" w:eastAsia="Times New Roman" w:hAnsi="Arial" w:cs="Arial"/>
          <w:sz w:val="24"/>
          <w:szCs w:val="24"/>
        </w:rPr>
        <w:t>A Câmara Municipal de Sumaré aprova e o Prefeito Municipal sanciona e promulga a seguinte Lei:</w:t>
      </w:r>
    </w:p>
    <w:p w:rsidR="00874F4D" w:rsidRPr="00874F4D" w:rsidP="00874F4D" w14:paraId="213F9833"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1º </w:t>
      </w:r>
      <w:r w:rsidRPr="00874F4D">
        <w:rPr>
          <w:rFonts w:ascii="Arial" w:eastAsia="Times New Roman" w:hAnsi="Arial" w:cs="Arial"/>
          <w:sz w:val="24"/>
          <w:szCs w:val="24"/>
        </w:rPr>
        <w:t>As unidades de saúde sob gestão do Município de Sumaré que prestam atendimento presencial ao público manterão afixado, em local de ampla visibilidade e de livre acesso aos usuários, material informativo sobre o Programa Farmácia Popular do Brasil, instituído pela União, ou programa federal que venha a substituí-lo com finalidade equivalente.</w:t>
      </w:r>
    </w:p>
    <w:p w:rsidR="00874F4D" w:rsidRPr="00874F4D" w:rsidP="00874F4D" w14:paraId="1FBE9E77" w14:textId="77777777">
      <w:pPr>
        <w:spacing w:after="120" w:line="360" w:lineRule="auto"/>
        <w:ind w:left="1418"/>
        <w:jc w:val="both"/>
        <w:rPr>
          <w:rFonts w:ascii="Arial" w:hAnsi="Arial" w:cs="Arial"/>
        </w:rPr>
      </w:pPr>
      <w:r w:rsidRPr="00874F4D">
        <w:rPr>
          <w:rFonts w:ascii="Arial" w:eastAsia="Times New Roman" w:hAnsi="Arial" w:cs="Arial"/>
          <w:sz w:val="24"/>
          <w:szCs w:val="24"/>
        </w:rPr>
        <w:t>§ 1º Sujeitam-se ao disposto nesta Lei, entre outras, as Unidades Básicas de Saúde, as Unidades de Saúde da Família, as Unidades de Pronto Atendimento, as policlínicas e centros de especialidades, os Centros de Atenção Psicossocial e as demais unidades públicas municipais que realizem dispensação de medicamentos.</w:t>
      </w:r>
    </w:p>
    <w:p w:rsidR="00874F4D" w:rsidRPr="00874F4D" w:rsidP="00874F4D" w14:paraId="6ED20F13" w14:textId="77777777">
      <w:pPr>
        <w:spacing w:after="120" w:line="360" w:lineRule="auto"/>
        <w:ind w:left="1418"/>
        <w:jc w:val="both"/>
        <w:rPr>
          <w:rFonts w:ascii="Arial" w:hAnsi="Arial" w:cs="Arial"/>
        </w:rPr>
      </w:pPr>
      <w:r w:rsidRPr="00874F4D">
        <w:rPr>
          <w:rFonts w:ascii="Arial" w:eastAsia="Times New Roman" w:hAnsi="Arial" w:cs="Arial"/>
          <w:sz w:val="24"/>
          <w:szCs w:val="24"/>
        </w:rPr>
        <w:t>§ 2º A divulgação prevista nesta Lei tem caráter complementar às ações de assistência farmacêutica do Município e não afasta as responsabilidades de atendimento e de fornecimento de medicamentos atribuídas à rede pública pela legislação aplicável.</w:t>
      </w:r>
    </w:p>
    <w:p w:rsidR="00874F4D" w:rsidRPr="00874F4D" w:rsidP="00874F4D" w14:paraId="0B992F8F"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2º </w:t>
      </w:r>
      <w:r w:rsidRPr="00874F4D">
        <w:rPr>
          <w:rFonts w:ascii="Arial" w:eastAsia="Times New Roman" w:hAnsi="Arial" w:cs="Arial"/>
          <w:sz w:val="24"/>
          <w:szCs w:val="24"/>
        </w:rPr>
        <w:t>O material informativo conterá, no mínimo:</w:t>
      </w:r>
    </w:p>
    <w:p w:rsidR="00874F4D" w:rsidRPr="00874F4D" w:rsidP="00874F4D" w14:paraId="0EC24AE8"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I – </w:t>
      </w:r>
      <w:r w:rsidRPr="00874F4D">
        <w:rPr>
          <w:rFonts w:ascii="Arial" w:eastAsia="Times New Roman" w:hAnsi="Arial" w:cs="Arial"/>
          <w:sz w:val="24"/>
          <w:szCs w:val="24"/>
        </w:rPr>
        <w:t>o nome e o endereço</w:t>
      </w:r>
      <w:r w:rsidRPr="00874F4D">
        <w:rPr>
          <w:rFonts w:ascii="Arial" w:eastAsia="Times New Roman" w:hAnsi="Arial" w:cs="Arial"/>
          <w:sz w:val="24"/>
          <w:szCs w:val="24"/>
        </w:rPr>
        <w:t xml:space="preserve"> das farmácias e drogarias credenciadas ao Programa situadas no território de referência da unidade de saúde, </w:t>
      </w:r>
      <w:r w:rsidRPr="00874F4D">
        <w:rPr>
          <w:rFonts w:ascii="Arial" w:eastAsia="Times New Roman" w:hAnsi="Arial" w:cs="Arial"/>
          <w:sz w:val="24"/>
          <w:szCs w:val="24"/>
        </w:rPr>
        <w:t>conforme definido pelo Poder Executivo, ou, inexistindo estabelecimento credenciado nesse território, dos estabelecimentos credenciados mais próximos, com base nas informações oficiais do Ministério da Saúde e observados critérios objetivos e isonômicos;</w:t>
      </w:r>
    </w:p>
    <w:p w:rsidR="00874F4D" w:rsidRPr="00874F4D" w:rsidP="00874F4D" w14:paraId="4EC06479"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II – </w:t>
      </w:r>
      <w:r w:rsidRPr="00874F4D">
        <w:rPr>
          <w:rFonts w:ascii="Arial" w:eastAsia="Times New Roman" w:hAnsi="Arial" w:cs="Arial"/>
          <w:sz w:val="24"/>
          <w:szCs w:val="24"/>
        </w:rPr>
        <w:t>a</w:t>
      </w:r>
      <w:r w:rsidRPr="00874F4D">
        <w:rPr>
          <w:rFonts w:ascii="Arial" w:eastAsia="Times New Roman" w:hAnsi="Arial" w:cs="Arial"/>
          <w:sz w:val="24"/>
          <w:szCs w:val="24"/>
        </w:rPr>
        <w:t xml:space="preserve"> informação de que os medicamentos e insumos do elenco do Programa são fornecidos gratuitamente, com a indicação das condições de saúde contempladas e dos requisitos de acesso aplicáveis às diferentes categorias de itens, na forma da regulamentação federal;</w:t>
      </w:r>
    </w:p>
    <w:p w:rsidR="00874F4D" w:rsidRPr="00874F4D" w:rsidP="00874F4D" w14:paraId="45DB46A8" w14:textId="77777777">
      <w:pPr>
        <w:spacing w:after="120" w:line="360" w:lineRule="auto"/>
        <w:ind w:left="1418"/>
        <w:jc w:val="both"/>
        <w:rPr>
          <w:rFonts w:ascii="Arial" w:hAnsi="Arial" w:cs="Arial"/>
        </w:rPr>
      </w:pPr>
      <w:r w:rsidRPr="00874F4D">
        <w:rPr>
          <w:rFonts w:ascii="Arial" w:eastAsia="Times New Roman" w:hAnsi="Arial" w:cs="Arial"/>
          <w:sz w:val="24"/>
          <w:szCs w:val="24"/>
        </w:rPr>
        <w:t>III – a orientação sobre a documentação exigida para a retirada dos itens e sobre as hipóteses de retirada por representante, observadas as normas vigentes do Programa;</w:t>
      </w:r>
    </w:p>
    <w:p w:rsidR="00874F4D" w:rsidRPr="00874F4D" w:rsidP="00874F4D" w14:paraId="08326690"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IV – </w:t>
      </w:r>
      <w:r w:rsidRPr="00874F4D">
        <w:rPr>
          <w:rFonts w:ascii="Arial" w:eastAsia="Times New Roman" w:hAnsi="Arial" w:cs="Arial"/>
          <w:sz w:val="24"/>
          <w:szCs w:val="24"/>
        </w:rPr>
        <w:t>o</w:t>
      </w:r>
      <w:r w:rsidRPr="00874F4D">
        <w:rPr>
          <w:rFonts w:ascii="Arial" w:eastAsia="Times New Roman" w:hAnsi="Arial" w:cs="Arial"/>
          <w:sz w:val="24"/>
          <w:szCs w:val="24"/>
        </w:rPr>
        <w:t xml:space="preserve"> número do serviço telefônico da </w:t>
      </w:r>
      <w:r w:rsidRPr="00874F4D">
        <w:rPr>
          <w:rFonts w:ascii="Arial" w:eastAsia="Times New Roman" w:hAnsi="Arial" w:cs="Arial"/>
          <w:sz w:val="24"/>
          <w:szCs w:val="24"/>
        </w:rPr>
        <w:t>Ouvidoria-Geral</w:t>
      </w:r>
      <w:r w:rsidRPr="00874F4D">
        <w:rPr>
          <w:rFonts w:ascii="Arial" w:eastAsia="Times New Roman" w:hAnsi="Arial" w:cs="Arial"/>
          <w:sz w:val="24"/>
          <w:szCs w:val="24"/>
        </w:rPr>
        <w:t xml:space="preserve"> do Sistema Único de Saúde (Disque Saúde 136) e, quando existente, o canal de ouvidoria ou de atendimento ao cidadão indicado pelo Poder Executivo, para orientações e registro de reclamações;</w:t>
      </w:r>
    </w:p>
    <w:p w:rsidR="00874F4D" w:rsidRPr="00874F4D" w:rsidP="00874F4D" w14:paraId="10955963"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V – </w:t>
      </w:r>
      <w:r w:rsidRPr="00874F4D">
        <w:rPr>
          <w:rFonts w:ascii="Arial" w:eastAsia="Times New Roman" w:hAnsi="Arial" w:cs="Arial"/>
          <w:sz w:val="24"/>
          <w:szCs w:val="24"/>
        </w:rPr>
        <w:t>código</w:t>
      </w:r>
      <w:r w:rsidRPr="00874F4D">
        <w:rPr>
          <w:rFonts w:ascii="Arial" w:eastAsia="Times New Roman" w:hAnsi="Arial" w:cs="Arial"/>
          <w:sz w:val="24"/>
          <w:szCs w:val="24"/>
        </w:rPr>
        <w:t xml:space="preserve"> de leitura rápida (QR </w:t>
      </w:r>
      <w:r w:rsidRPr="00874F4D">
        <w:rPr>
          <w:rFonts w:ascii="Arial" w:eastAsia="Times New Roman" w:hAnsi="Arial" w:cs="Arial"/>
          <w:sz w:val="24"/>
          <w:szCs w:val="24"/>
        </w:rPr>
        <w:t>Code</w:t>
      </w:r>
      <w:r w:rsidRPr="00874F4D">
        <w:rPr>
          <w:rFonts w:ascii="Arial" w:eastAsia="Times New Roman" w:hAnsi="Arial" w:cs="Arial"/>
          <w:sz w:val="24"/>
          <w:szCs w:val="24"/>
        </w:rPr>
        <w:t>), acompanhado do respectivo endereço eletrônico em formato legível, que remeta a página institucional do Município ou a canal oficial do Ministério da Saúde, para consulta da relação atualizada dos estabelecimentos credenciados e do elenco oficial de itens do Programa;</w:t>
      </w:r>
    </w:p>
    <w:p w:rsidR="00874F4D" w:rsidRPr="00874F4D" w:rsidP="00874F4D" w14:paraId="4C92F1D9"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VI – </w:t>
      </w:r>
      <w:r w:rsidRPr="00874F4D">
        <w:rPr>
          <w:rFonts w:ascii="Arial" w:eastAsia="Times New Roman" w:hAnsi="Arial" w:cs="Arial"/>
          <w:sz w:val="24"/>
          <w:szCs w:val="24"/>
        </w:rPr>
        <w:t>a</w:t>
      </w:r>
      <w:r w:rsidRPr="00874F4D">
        <w:rPr>
          <w:rFonts w:ascii="Arial" w:eastAsia="Times New Roman" w:hAnsi="Arial" w:cs="Arial"/>
          <w:sz w:val="24"/>
          <w:szCs w:val="24"/>
        </w:rPr>
        <w:t xml:space="preserve"> indicação da fonte das informações e da data de sua última atualização, com a advertência de que a relação de estabelecimentos e o elenco de itens são periodicamente atualizados pelo Ministério da Saúde e de que a versão vigente consta dos canais oficiais indicados.</w:t>
      </w:r>
    </w:p>
    <w:p w:rsidR="00874F4D" w:rsidRPr="00874F4D" w:rsidP="00874F4D" w14:paraId="3C54E53A" w14:textId="77777777">
      <w:pPr>
        <w:spacing w:after="120" w:line="360" w:lineRule="auto"/>
        <w:ind w:left="1418"/>
        <w:jc w:val="both"/>
        <w:rPr>
          <w:rFonts w:ascii="Arial" w:hAnsi="Arial" w:cs="Arial"/>
        </w:rPr>
      </w:pPr>
      <w:r w:rsidRPr="00874F4D">
        <w:rPr>
          <w:rFonts w:ascii="Arial" w:eastAsia="Times New Roman" w:hAnsi="Arial" w:cs="Arial"/>
          <w:sz w:val="24"/>
          <w:szCs w:val="24"/>
        </w:rPr>
        <w:t>Parágrafo único. O material informativo poderá conter, ainda, orientação sucinta sobre os demais canais públicos de acesso gratuito a medicamentos disponíveis ao munícipe, na forma do regulamento.</w:t>
      </w:r>
    </w:p>
    <w:p w:rsidR="00874F4D" w:rsidRPr="00874F4D" w:rsidP="00874F4D" w14:paraId="1FEAC248"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3º </w:t>
      </w:r>
      <w:r w:rsidRPr="00874F4D">
        <w:rPr>
          <w:rFonts w:ascii="Arial" w:eastAsia="Times New Roman" w:hAnsi="Arial" w:cs="Arial"/>
          <w:sz w:val="24"/>
          <w:szCs w:val="24"/>
        </w:rPr>
        <w:t xml:space="preserve">O material informativo será redigido em linguagem simples e observará diretrizes de acessibilidade, com uso de fonte ampliada e alto contraste, nos termos da Lei federal nº 15.263, de 14 de novembro de 2025, da Lei federal nº 13.146, de 6 de </w:t>
      </w:r>
      <w:r w:rsidRPr="00874F4D">
        <w:rPr>
          <w:rFonts w:ascii="Arial" w:eastAsia="Times New Roman" w:hAnsi="Arial" w:cs="Arial"/>
          <w:sz w:val="24"/>
          <w:szCs w:val="24"/>
        </w:rPr>
        <w:t>julho de 2015, e da Lei federal nº 10.741, de 1º de outubro de 2003, podendo incorporar recursos adicionais de acessibilidade, inclusive em seu conteúdo digital.</w:t>
      </w:r>
    </w:p>
    <w:p w:rsidR="00874F4D" w:rsidRPr="00874F4D" w:rsidP="00874F4D" w14:paraId="0C2C0054"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4º </w:t>
      </w:r>
      <w:r w:rsidRPr="00874F4D">
        <w:rPr>
          <w:rFonts w:ascii="Arial" w:eastAsia="Times New Roman" w:hAnsi="Arial" w:cs="Arial"/>
          <w:sz w:val="24"/>
          <w:szCs w:val="24"/>
        </w:rPr>
        <w:t>O material informativo tem caráter exclusivamente educativo, informativo e de orientação social, sendo vedadas:</w:t>
      </w:r>
    </w:p>
    <w:p w:rsidR="00874F4D" w:rsidRPr="00874F4D" w:rsidP="00874F4D" w14:paraId="0F154486"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I – </w:t>
      </w:r>
      <w:r w:rsidRPr="00874F4D">
        <w:rPr>
          <w:rFonts w:ascii="Arial" w:eastAsia="Times New Roman" w:hAnsi="Arial" w:cs="Arial"/>
          <w:sz w:val="24"/>
          <w:szCs w:val="24"/>
        </w:rPr>
        <w:t>a</w:t>
      </w:r>
      <w:r w:rsidRPr="00874F4D">
        <w:rPr>
          <w:rFonts w:ascii="Arial" w:eastAsia="Times New Roman" w:hAnsi="Arial" w:cs="Arial"/>
          <w:sz w:val="24"/>
          <w:szCs w:val="24"/>
        </w:rPr>
        <w:t xml:space="preserve"> inserção de logomarcas, identidades visuais, slogans, ofertas, promoções ou qualquer outro elemento de apelo publicitário dos estabelecimentos privados credenciados;</w:t>
      </w:r>
    </w:p>
    <w:p w:rsidR="00874F4D" w:rsidRPr="00874F4D" w:rsidP="00874F4D" w14:paraId="3DF29063" w14:textId="77777777">
      <w:pPr>
        <w:spacing w:after="120" w:line="360" w:lineRule="auto"/>
        <w:ind w:left="1418"/>
        <w:jc w:val="both"/>
        <w:rPr>
          <w:rFonts w:ascii="Arial" w:hAnsi="Arial" w:cs="Arial"/>
        </w:rPr>
      </w:pPr>
      <w:r w:rsidRPr="00874F4D">
        <w:rPr>
          <w:rFonts w:ascii="Arial" w:eastAsia="Times New Roman" w:hAnsi="Arial" w:cs="Arial"/>
          <w:sz w:val="24"/>
          <w:szCs w:val="24"/>
        </w:rPr>
        <w:t xml:space="preserve">II – </w:t>
      </w:r>
      <w:r w:rsidRPr="00874F4D">
        <w:rPr>
          <w:rFonts w:ascii="Arial" w:eastAsia="Times New Roman" w:hAnsi="Arial" w:cs="Arial"/>
          <w:sz w:val="24"/>
          <w:szCs w:val="24"/>
        </w:rPr>
        <w:t>a</w:t>
      </w:r>
      <w:r w:rsidRPr="00874F4D">
        <w:rPr>
          <w:rFonts w:ascii="Arial" w:eastAsia="Times New Roman" w:hAnsi="Arial" w:cs="Arial"/>
          <w:sz w:val="24"/>
          <w:szCs w:val="24"/>
        </w:rPr>
        <w:t xml:space="preserve"> indicação de preferência, o destaque ou a ordenação privilegiada de qualquer estabelecimento;</w:t>
      </w:r>
    </w:p>
    <w:p w:rsidR="00874F4D" w:rsidRPr="00874F4D" w:rsidP="00874F4D" w14:paraId="1D99F94A" w14:textId="77777777">
      <w:pPr>
        <w:spacing w:after="120" w:line="360" w:lineRule="auto"/>
        <w:ind w:left="1418"/>
        <w:jc w:val="both"/>
        <w:rPr>
          <w:rFonts w:ascii="Arial" w:hAnsi="Arial" w:cs="Arial"/>
        </w:rPr>
      </w:pPr>
      <w:r w:rsidRPr="00874F4D">
        <w:rPr>
          <w:rFonts w:ascii="Arial" w:eastAsia="Times New Roman" w:hAnsi="Arial" w:cs="Arial"/>
          <w:sz w:val="24"/>
          <w:szCs w:val="24"/>
        </w:rPr>
        <w:t>III – a inclusão de nomes, imagens ou símbolos que caracterizem promoção pessoal de autoridades ou de servidores públicos, nos termos do § 1º do art. 37 da Constituição Federal.</w:t>
      </w:r>
    </w:p>
    <w:p w:rsidR="00874F4D" w:rsidRPr="00874F4D" w:rsidP="00874F4D" w14:paraId="36FD3EC3" w14:textId="77777777">
      <w:pPr>
        <w:spacing w:after="120" w:line="360" w:lineRule="auto"/>
        <w:ind w:left="1418"/>
        <w:jc w:val="both"/>
        <w:rPr>
          <w:rFonts w:ascii="Arial" w:hAnsi="Arial" w:cs="Arial"/>
        </w:rPr>
      </w:pPr>
      <w:r w:rsidRPr="00874F4D">
        <w:rPr>
          <w:rFonts w:ascii="Arial" w:eastAsia="Times New Roman" w:hAnsi="Arial" w:cs="Arial"/>
          <w:sz w:val="24"/>
          <w:szCs w:val="24"/>
        </w:rPr>
        <w:t>§ 1º Os nomes dos estabelecimentos serão grafados em tipografia padronizada e neutra, admitido o uso das marcas oficiais do Sistema Único de Saúde, do Ministério da Saúde, do Programa e do Município.</w:t>
      </w:r>
    </w:p>
    <w:p w:rsidR="00874F4D" w:rsidRPr="00874F4D" w:rsidP="00874F4D" w14:paraId="2C5D7F21" w14:textId="77777777">
      <w:pPr>
        <w:spacing w:after="120" w:line="360" w:lineRule="auto"/>
        <w:ind w:left="1418"/>
        <w:jc w:val="both"/>
        <w:rPr>
          <w:rFonts w:ascii="Arial" w:hAnsi="Arial" w:cs="Arial"/>
        </w:rPr>
      </w:pPr>
      <w:r w:rsidRPr="00874F4D">
        <w:rPr>
          <w:rFonts w:ascii="Arial" w:eastAsia="Times New Roman" w:hAnsi="Arial" w:cs="Arial"/>
          <w:sz w:val="24"/>
          <w:szCs w:val="24"/>
        </w:rPr>
        <w:t>§ 2º A ordenação alfabética ou territorial dos estabelecimentos, segundo critério objetivo previamente definido, não constitui preferência ou destaque para os fins do inciso II deste artigo.</w:t>
      </w:r>
    </w:p>
    <w:p w:rsidR="00874F4D" w:rsidRPr="00874F4D" w:rsidP="00874F4D" w14:paraId="19E2E8FC"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5º </w:t>
      </w:r>
      <w:r w:rsidRPr="00874F4D">
        <w:rPr>
          <w:rFonts w:ascii="Arial" w:eastAsia="Times New Roman" w:hAnsi="Arial" w:cs="Arial"/>
          <w:sz w:val="24"/>
          <w:szCs w:val="24"/>
        </w:rPr>
        <w:t>As informações impressas serão mantidas atualizadas mediante revisão periódica, observada a periodicidade definida em regulamento, e corrigidas sempre que identificada alteração relevante nas fontes oficiais, servindo o canal digital de que trata o inciso V do art. 2º como referência para a consulta das informações vigentes.</w:t>
      </w:r>
    </w:p>
    <w:p w:rsidR="009E57DD" w:rsidRPr="009E57DD" w:rsidP="009E57DD" w14:paraId="3110D6C7" w14:textId="77777777">
      <w:pPr>
        <w:spacing w:line="360" w:lineRule="auto"/>
        <w:ind w:firstLine="709"/>
        <w:jc w:val="both"/>
        <w:rPr>
          <w:rFonts w:ascii="Arial" w:eastAsia="Times New Roman" w:hAnsi="Arial" w:cs="Arial"/>
          <w:sz w:val="24"/>
          <w:szCs w:val="24"/>
        </w:rPr>
      </w:pPr>
      <w:r w:rsidRPr="00874F4D">
        <w:rPr>
          <w:rFonts w:ascii="Arial" w:eastAsia="Times New Roman" w:hAnsi="Arial" w:cs="Arial"/>
          <w:b/>
          <w:bCs/>
          <w:sz w:val="24"/>
          <w:szCs w:val="24"/>
        </w:rPr>
        <w:t xml:space="preserve">Art. 6º </w:t>
      </w:r>
      <w:r w:rsidRPr="009E57DD">
        <w:rPr>
          <w:rFonts w:ascii="Arial" w:eastAsia="Times New Roman" w:hAnsi="Arial" w:cs="Arial"/>
          <w:sz w:val="24"/>
          <w:szCs w:val="24"/>
        </w:rPr>
        <w:t>O Poder Executivo poderá, no âmbito de suas atribuições e de acordo com sua conveniência e oportunidade administrativas, promover ações relacionadas ao Programa Farmácia Popular do Brasil, especialmente:</w:t>
      </w:r>
    </w:p>
    <w:p w:rsidR="009E57DD" w:rsidRPr="009E57DD" w:rsidP="009E57DD" w14:paraId="6E0C51DA" w14:textId="77777777">
      <w:pPr>
        <w:spacing w:line="360" w:lineRule="auto"/>
        <w:ind w:firstLine="709"/>
        <w:jc w:val="both"/>
        <w:rPr>
          <w:rFonts w:ascii="Arial" w:eastAsia="Times New Roman" w:hAnsi="Arial" w:cs="Arial"/>
          <w:sz w:val="24"/>
          <w:szCs w:val="24"/>
        </w:rPr>
      </w:pPr>
      <w:r w:rsidRPr="009E57DD">
        <w:rPr>
          <w:rFonts w:ascii="Arial" w:eastAsia="Times New Roman" w:hAnsi="Arial" w:cs="Arial"/>
          <w:sz w:val="24"/>
          <w:szCs w:val="24"/>
        </w:rPr>
        <w:t xml:space="preserve">I – </w:t>
      </w:r>
      <w:r w:rsidRPr="009E57DD">
        <w:rPr>
          <w:rFonts w:ascii="Arial" w:eastAsia="Times New Roman" w:hAnsi="Arial" w:cs="Arial"/>
          <w:sz w:val="24"/>
          <w:szCs w:val="24"/>
        </w:rPr>
        <w:t>a</w:t>
      </w:r>
      <w:r w:rsidRPr="009E57DD">
        <w:rPr>
          <w:rFonts w:ascii="Arial" w:eastAsia="Times New Roman" w:hAnsi="Arial" w:cs="Arial"/>
          <w:sz w:val="24"/>
          <w:szCs w:val="24"/>
        </w:rPr>
        <w:t xml:space="preserve"> divulgação das informações de que trata esta Lei em seus canais oficiais de comunicação e em meios digitais disponíveis nas próprias unidades;</w:t>
      </w:r>
    </w:p>
    <w:p w:rsidR="009E57DD" w:rsidRPr="009E57DD" w:rsidP="009E57DD" w14:paraId="69AD15EC" w14:textId="77777777">
      <w:pPr>
        <w:spacing w:line="360" w:lineRule="auto"/>
        <w:ind w:firstLine="709"/>
        <w:jc w:val="both"/>
        <w:rPr>
          <w:rFonts w:ascii="Arial" w:eastAsia="Times New Roman" w:hAnsi="Arial" w:cs="Arial"/>
          <w:sz w:val="24"/>
          <w:szCs w:val="24"/>
        </w:rPr>
      </w:pPr>
    </w:p>
    <w:p w:rsidR="009E57DD" w:rsidRPr="009E57DD" w:rsidP="009E57DD" w14:paraId="302EF725" w14:textId="77777777">
      <w:pPr>
        <w:spacing w:line="360" w:lineRule="auto"/>
        <w:ind w:firstLine="709"/>
        <w:jc w:val="both"/>
        <w:rPr>
          <w:rFonts w:ascii="Arial" w:eastAsia="Times New Roman" w:hAnsi="Arial" w:cs="Arial"/>
          <w:sz w:val="24"/>
          <w:szCs w:val="24"/>
        </w:rPr>
      </w:pPr>
      <w:r w:rsidRPr="009E57DD">
        <w:rPr>
          <w:rFonts w:ascii="Arial" w:eastAsia="Times New Roman" w:hAnsi="Arial" w:cs="Arial"/>
          <w:sz w:val="24"/>
          <w:szCs w:val="24"/>
        </w:rPr>
        <w:t xml:space="preserve">II – </w:t>
      </w:r>
      <w:r w:rsidRPr="009E57DD">
        <w:rPr>
          <w:rFonts w:ascii="Arial" w:eastAsia="Times New Roman" w:hAnsi="Arial" w:cs="Arial"/>
          <w:sz w:val="24"/>
          <w:szCs w:val="24"/>
        </w:rPr>
        <w:t>a orientação e a capacitação</w:t>
      </w:r>
      <w:r w:rsidRPr="009E57DD">
        <w:rPr>
          <w:rFonts w:ascii="Arial" w:eastAsia="Times New Roman" w:hAnsi="Arial" w:cs="Arial"/>
          <w:sz w:val="24"/>
          <w:szCs w:val="24"/>
        </w:rPr>
        <w:t xml:space="preserve"> de profissionais de saúde da rede municipal sobre o Programa;</w:t>
      </w:r>
    </w:p>
    <w:p w:rsidR="00874F4D" w:rsidRPr="00874F4D" w:rsidP="009E57DD" w14:paraId="14CC1C50" w14:textId="77777777">
      <w:pPr>
        <w:spacing w:line="360" w:lineRule="auto"/>
        <w:ind w:firstLine="709"/>
        <w:jc w:val="both"/>
        <w:rPr>
          <w:rFonts w:ascii="Arial" w:hAnsi="Arial" w:cs="Arial"/>
        </w:rPr>
      </w:pPr>
      <w:r w:rsidRPr="009E57DD">
        <w:rPr>
          <w:rFonts w:ascii="Arial" w:eastAsia="Times New Roman" w:hAnsi="Arial" w:cs="Arial"/>
          <w:sz w:val="24"/>
          <w:szCs w:val="24"/>
        </w:rPr>
        <w:t>III – a orientação aos usuários sobre a localização do material informativo e a finalidade do Programa.</w:t>
      </w:r>
    </w:p>
    <w:p w:rsidR="00874F4D" w:rsidRPr="00874F4D" w:rsidP="00874F4D" w14:paraId="7566E2AE"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7º </w:t>
      </w:r>
      <w:r w:rsidRPr="00874F4D">
        <w:rPr>
          <w:rFonts w:ascii="Arial" w:eastAsia="Times New Roman" w:hAnsi="Arial" w:cs="Arial"/>
          <w:sz w:val="24"/>
          <w:szCs w:val="24"/>
        </w:rPr>
        <w:t>As despesas decorrentes da execução desta Lei correrão à conta de dotações orçamentárias próprias, suplementadas se necessário, observada a legislação orçamentária e financeira aplicável.</w:t>
      </w:r>
    </w:p>
    <w:p w:rsidR="00874F4D" w:rsidRPr="00874F4D" w:rsidP="00874F4D" w14:paraId="07132134"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8º </w:t>
      </w:r>
      <w:r w:rsidRPr="00874F4D">
        <w:rPr>
          <w:rFonts w:ascii="Arial" w:eastAsia="Times New Roman" w:hAnsi="Arial" w:cs="Arial"/>
          <w:sz w:val="24"/>
          <w:szCs w:val="24"/>
        </w:rPr>
        <w:t>O Poder Executivo poderá regulamentar esta Lei, especialmente quanto ao modelo padronizado do material informativo, à definição dos territórios de referência das unidades de saúde para os fins desta Lei, à forma de divulgação e à periodicidade de atualização das informações.</w:t>
      </w:r>
    </w:p>
    <w:p w:rsidR="00874F4D" w:rsidRPr="00874F4D" w:rsidP="00874F4D" w14:paraId="03ED8244" w14:textId="77777777">
      <w:pPr>
        <w:spacing w:after="120" w:line="360" w:lineRule="auto"/>
        <w:ind w:left="1418"/>
        <w:jc w:val="both"/>
        <w:rPr>
          <w:rFonts w:ascii="Arial" w:hAnsi="Arial" w:cs="Arial"/>
        </w:rPr>
      </w:pPr>
      <w:r w:rsidRPr="00874F4D">
        <w:rPr>
          <w:rFonts w:ascii="Arial" w:eastAsia="Times New Roman" w:hAnsi="Arial" w:cs="Arial"/>
          <w:sz w:val="24"/>
          <w:szCs w:val="24"/>
        </w:rPr>
        <w:t>Parágrafo único. Fica facultado ao Poder Executivo desenvolver aplicativo, portal ou outra ferramenta digital própria para consulta das informações de que trata esta Lei, como alternativa ou complemento ao disposto no inciso V do art. 2º, sem que tal desenvolvimento constitua obrigação decorrente desta Lei.</w:t>
      </w:r>
    </w:p>
    <w:p w:rsidR="00874F4D" w:rsidRPr="00874F4D" w:rsidP="00874F4D" w14:paraId="49AB0AEC" w14:textId="77777777">
      <w:pPr>
        <w:spacing w:line="360" w:lineRule="auto"/>
        <w:ind w:firstLine="709"/>
        <w:jc w:val="both"/>
        <w:rPr>
          <w:rFonts w:ascii="Arial" w:hAnsi="Arial" w:cs="Arial"/>
        </w:rPr>
      </w:pPr>
      <w:r w:rsidRPr="00874F4D">
        <w:rPr>
          <w:rFonts w:ascii="Arial" w:eastAsia="Times New Roman" w:hAnsi="Arial" w:cs="Arial"/>
          <w:b/>
          <w:bCs/>
          <w:sz w:val="24"/>
          <w:szCs w:val="24"/>
        </w:rPr>
        <w:t xml:space="preserve">Art. 9º </w:t>
      </w:r>
      <w:r w:rsidRPr="00874F4D">
        <w:rPr>
          <w:rFonts w:ascii="Arial" w:eastAsia="Times New Roman" w:hAnsi="Arial" w:cs="Arial"/>
          <w:sz w:val="24"/>
          <w:szCs w:val="24"/>
        </w:rPr>
        <w:t>Esta Lei entra em vigor após decorridos 90 (noventa) dias de sua publicação oficial.</w:t>
      </w:r>
    </w:p>
    <w:p w:rsidR="00874F4D" w:rsidRPr="00874F4D" w:rsidP="00874F4D" w14:paraId="41CEDD9F" w14:textId="77777777">
      <w:pPr>
        <w:spacing w:after="120"/>
        <w:rPr>
          <w:rFonts w:ascii="Arial" w:hAnsi="Arial" w:cs="Arial"/>
        </w:rPr>
      </w:pPr>
    </w:p>
    <w:p w:rsidR="00ED543F" w:rsidP="00ED543F" w14:paraId="2CE051F0" w14:textId="77777777">
      <w:pPr>
        <w:tabs>
          <w:tab w:val="left" w:pos="567"/>
        </w:tabs>
        <w:spacing w:after="0" w:line="240" w:lineRule="auto"/>
        <w:jc w:val="right"/>
        <w:rPr>
          <w:rFonts w:ascii="Arial" w:eastAsia="Arial" w:hAnsi="Arial" w:cs="Arial"/>
          <w:sz w:val="24"/>
          <w:szCs w:val="24"/>
        </w:rPr>
      </w:pPr>
      <w:r>
        <w:rPr>
          <w:rFonts w:ascii="Arial" w:eastAsia="Arial" w:hAnsi="Arial" w:cs="Arial"/>
          <w:sz w:val="24"/>
          <w:szCs w:val="24"/>
        </w:rPr>
        <w:t>Sala das sessões, 09 de setembro de 2026</w:t>
      </w:r>
    </w:p>
    <w:p w:rsidR="00ED543F" w:rsidP="00ED543F" w14:paraId="34B4382F" w14:textId="77777777">
      <w:pPr>
        <w:spacing w:after="0" w:line="276" w:lineRule="auto"/>
        <w:jc w:val="center"/>
        <w:rPr>
          <w:rFonts w:ascii="Arial" w:eastAsia="Arial" w:hAnsi="Arial" w:cs="Arial"/>
          <w:b/>
          <w:sz w:val="24"/>
          <w:szCs w:val="24"/>
        </w:rPr>
      </w:pPr>
      <w:r>
        <w:rPr>
          <w:rFonts w:ascii="Arial" w:eastAsia="Arial" w:hAnsi="Arial" w:cs="Arial"/>
          <w:noProof/>
          <w:color w:val="000000"/>
          <w:sz w:val="24"/>
          <w:szCs w:val="24"/>
        </w:rPr>
        <w:drawing>
          <wp:inline distT="0" distB="0" distL="0" distR="0">
            <wp:extent cx="2124075" cy="96202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43725" name="Imagem 2"/>
                    <pic:cNvPicPr>
                      <a:picLocks noChangeAspect="1" noChangeArrowheads="1"/>
                    </pic:cNvPicPr>
                  </pic:nvPicPr>
                  <pic:blipFill>
                    <a:blip xmlns:r="http://schemas.openxmlformats.org/officeDocument/2006/relationships" r:embed="rId5" cstate="print"/>
                    <a:stretch>
                      <a:fillRect/>
                    </a:stretch>
                  </pic:blipFill>
                  <pic:spPr bwMode="auto">
                    <a:xfrm>
                      <a:off x="0" y="0"/>
                      <a:ext cx="2124075" cy="962025"/>
                    </a:xfrm>
                    <a:prstGeom prst="rect">
                      <a:avLst/>
                    </a:prstGeom>
                    <a:noFill/>
                    <a:ln>
                      <a:noFill/>
                    </a:ln>
                  </pic:spPr>
                </pic:pic>
              </a:graphicData>
            </a:graphic>
          </wp:inline>
        </w:drawing>
      </w:r>
    </w:p>
    <w:p w:rsidR="00ED543F" w:rsidP="00ED543F" w14:paraId="00DC2E4E" w14:textId="77777777">
      <w:pPr>
        <w:spacing w:after="0" w:line="276" w:lineRule="auto"/>
        <w:jc w:val="center"/>
        <w:rPr>
          <w:rFonts w:ascii="Arial" w:eastAsia="Arial" w:hAnsi="Arial" w:cs="Arial"/>
          <w:b/>
          <w:sz w:val="24"/>
          <w:szCs w:val="24"/>
        </w:rPr>
      </w:pPr>
      <w:r>
        <w:rPr>
          <w:rFonts w:ascii="Arial" w:eastAsia="Arial" w:hAnsi="Arial" w:cs="Arial"/>
          <w:b/>
          <w:sz w:val="24"/>
          <w:szCs w:val="24"/>
        </w:rPr>
        <w:t>César Bianchi</w:t>
      </w:r>
    </w:p>
    <w:p w:rsidR="00ED543F" w:rsidP="00ED543F" w14:paraId="19E927E7" w14:textId="77777777">
      <w:pPr>
        <w:spacing w:after="0" w:line="276" w:lineRule="auto"/>
        <w:jc w:val="center"/>
        <w:rPr>
          <w:rFonts w:ascii="Arial" w:eastAsia="Arial" w:hAnsi="Arial" w:cs="Arial"/>
          <w:sz w:val="24"/>
          <w:szCs w:val="24"/>
        </w:rPr>
      </w:pPr>
      <w:r>
        <w:rPr>
          <w:rFonts w:ascii="Arial" w:eastAsia="Arial" w:hAnsi="Arial" w:cs="Arial"/>
          <w:sz w:val="24"/>
          <w:szCs w:val="24"/>
        </w:rPr>
        <w:t>Vereador</w:t>
      </w:r>
    </w:p>
    <w:p w:rsidR="00ED543F" w:rsidP="00ED543F" w14:paraId="20AC79ED" w14:textId="77777777">
      <w:pPr>
        <w:spacing w:after="0" w:line="276" w:lineRule="auto"/>
        <w:jc w:val="center"/>
        <w:rPr>
          <w:rFonts w:ascii="Arial" w:eastAsia="Arial" w:hAnsi="Arial" w:cs="Arial"/>
          <w:sz w:val="24"/>
          <w:szCs w:val="24"/>
        </w:rPr>
      </w:pPr>
      <w:r>
        <w:rPr>
          <w:rFonts w:ascii="Arial" w:eastAsia="Arial" w:hAnsi="Arial" w:cs="Arial"/>
          <w:sz w:val="24"/>
          <w:szCs w:val="24"/>
        </w:rPr>
        <w:t>Partido Progressistas</w:t>
      </w:r>
    </w:p>
    <w:p w:rsidR="00D35DA1" w:rsidP="00874F4D" w14:paraId="3CBC2F45" w14:textId="77777777">
      <w:pPr>
        <w:spacing w:after="240" w:line="300" w:lineRule="auto"/>
        <w:jc w:val="center"/>
        <w:rPr>
          <w:rFonts w:ascii="Arial" w:eastAsia="Times New Roman" w:hAnsi="Arial" w:cs="Arial"/>
          <w:b/>
          <w:bCs/>
          <w:sz w:val="24"/>
          <w:szCs w:val="24"/>
        </w:rPr>
        <w:sectPr>
          <w:headerReference w:type="default" r:id="rId6"/>
          <w:footerReference w:type="even" r:id="rId7"/>
          <w:footerReference w:type="default" r:id="rId8"/>
          <w:footerReference w:type="first" r:id="rId9"/>
          <w:pgSz w:w="11906" w:h="16838"/>
          <w:pgMar w:top="1417" w:right="1274" w:bottom="1417" w:left="1418" w:header="708" w:footer="708" w:gutter="0"/>
          <w:pgNumType w:start="1"/>
          <w:cols w:space="720"/>
        </w:sectPr>
      </w:pPr>
    </w:p>
    <w:p w:rsidR="00D35DA1" w:rsidP="00874F4D" w14:paraId="109DAA92" w14:textId="77777777">
      <w:pPr>
        <w:spacing w:after="240" w:line="300" w:lineRule="auto"/>
        <w:jc w:val="center"/>
        <w:rPr>
          <w:rFonts w:ascii="Arial" w:eastAsia="Times New Roman" w:hAnsi="Arial" w:cs="Arial"/>
          <w:b/>
          <w:bCs/>
          <w:sz w:val="24"/>
          <w:szCs w:val="24"/>
        </w:rPr>
      </w:pPr>
    </w:p>
    <w:p w:rsidR="00874F4D" w:rsidRPr="00874F4D" w:rsidP="00874F4D" w14:paraId="2C1F730B" w14:textId="1A6E32C0">
      <w:pPr>
        <w:spacing w:after="240" w:line="300" w:lineRule="auto"/>
        <w:jc w:val="center"/>
        <w:rPr>
          <w:rFonts w:ascii="Arial" w:hAnsi="Arial" w:cs="Arial"/>
        </w:rPr>
      </w:pPr>
      <w:bookmarkStart w:id="1" w:name="_GoBack"/>
      <w:bookmarkEnd w:id="1"/>
      <w:r w:rsidRPr="00874F4D">
        <w:rPr>
          <w:rFonts w:ascii="Arial" w:eastAsia="Times New Roman" w:hAnsi="Arial" w:cs="Arial"/>
          <w:b/>
          <w:bCs/>
          <w:sz w:val="24"/>
          <w:szCs w:val="24"/>
        </w:rPr>
        <w:t>Justificativa</w:t>
      </w:r>
    </w:p>
    <w:p w:rsidR="00874F4D" w:rsidRPr="00874F4D" w:rsidP="00874F4D" w14:paraId="4D8D3FF1" w14:textId="77777777">
      <w:pPr>
        <w:spacing w:after="200" w:line="300" w:lineRule="auto"/>
        <w:jc w:val="both"/>
        <w:rPr>
          <w:rFonts w:ascii="Arial" w:hAnsi="Arial" w:cs="Arial"/>
        </w:rPr>
      </w:pPr>
      <w:r w:rsidRPr="00874F4D">
        <w:rPr>
          <w:rFonts w:ascii="Arial" w:eastAsia="Times New Roman" w:hAnsi="Arial" w:cs="Arial"/>
          <w:sz w:val="24"/>
          <w:szCs w:val="24"/>
        </w:rPr>
        <w:t>Senhor Presidente, Nobres Vereadores,</w:t>
      </w:r>
    </w:p>
    <w:p w:rsidR="00874F4D" w:rsidRPr="00874F4D" w:rsidP="00874F4D" w14:paraId="3EDADD50" w14:textId="77777777">
      <w:pPr>
        <w:spacing w:line="300" w:lineRule="auto"/>
        <w:ind w:firstLine="709"/>
        <w:jc w:val="both"/>
        <w:rPr>
          <w:rFonts w:ascii="Arial" w:hAnsi="Arial" w:cs="Arial"/>
        </w:rPr>
      </w:pPr>
      <w:r w:rsidRPr="00874F4D">
        <w:rPr>
          <w:rFonts w:ascii="Arial" w:eastAsia="Times New Roman" w:hAnsi="Arial" w:cs="Arial"/>
          <w:sz w:val="24"/>
          <w:szCs w:val="24"/>
        </w:rPr>
        <w:t>O presente Projeto de Lei tem como objetivo primordial garantir o pleno acesso à saúde e à informação, direitos fundamentais do cidadão garantidos pela Constituição Federal. Diariamente, milhares de munícipes buscam a rede municipal de saúde e, após a prescrição médica, dirigem-se às farmácias internas de nossas Unidades Básicas de Saúde (UBS). Ocorre que, em casos de eventual falta temporária de certos fármacos, muitos pacientes retornam para casa sem a medicação, interrompendo tratamentos essenciais por absoluta falta de informação.</w:t>
      </w:r>
    </w:p>
    <w:p w:rsidR="00874F4D" w:rsidRPr="00874F4D" w:rsidP="00874F4D" w14:paraId="6D691AF4" w14:textId="77777777">
      <w:pPr>
        <w:spacing w:line="300" w:lineRule="auto"/>
        <w:ind w:firstLine="709"/>
        <w:jc w:val="both"/>
        <w:rPr>
          <w:rFonts w:ascii="Arial" w:hAnsi="Arial" w:cs="Arial"/>
        </w:rPr>
      </w:pPr>
      <w:r w:rsidRPr="00874F4D">
        <w:rPr>
          <w:rFonts w:ascii="Arial" w:eastAsia="Times New Roman" w:hAnsi="Arial" w:cs="Arial"/>
          <w:sz w:val="24"/>
          <w:szCs w:val="24"/>
        </w:rPr>
        <w:t xml:space="preserve">O que boa parte da população — especialmente a de vulnerabilidade social — desconhece é que o Programa "Farmácia Popular do Brasil", do Governo Federal, distribui medicamentos para doenças crônicas de alta prevalência, além de ofertar outros insumos. Desde fevereiro de 2025 (Portaria GM/MS nº 6.613/2025), o Programa passou a fornecer gratuitamente 100% dos itens de seu elenco, o que reforça ainda mais a relevância de que a população conheça e utilize essa política pública. A presente propositura estabelece uma solução de baixíssimo custo e alto potencial de impacto social: a afixação, em cada unidade de saúde, de material informativo com a relação dos estabelecimentos credenciados do território de referência, os itens gratuitos e seus requisitos de acesso, o telefone da Ouvidoria do SUS e um QR </w:t>
      </w:r>
      <w:r w:rsidRPr="00874F4D">
        <w:rPr>
          <w:rFonts w:ascii="Arial" w:eastAsia="Times New Roman" w:hAnsi="Arial" w:cs="Arial"/>
          <w:sz w:val="24"/>
          <w:szCs w:val="24"/>
        </w:rPr>
        <w:t>Code</w:t>
      </w:r>
      <w:r w:rsidRPr="00874F4D">
        <w:rPr>
          <w:rFonts w:ascii="Arial" w:eastAsia="Times New Roman" w:hAnsi="Arial" w:cs="Arial"/>
          <w:sz w:val="24"/>
          <w:szCs w:val="24"/>
        </w:rPr>
        <w:t xml:space="preserve"> para os canais oficiais. O modelo é híbrido — lista impressa para o idoso e para quem não tem acesso à internet, QR </w:t>
      </w:r>
      <w:r w:rsidRPr="00874F4D">
        <w:rPr>
          <w:rFonts w:ascii="Arial" w:eastAsia="Times New Roman" w:hAnsi="Arial" w:cs="Arial"/>
          <w:sz w:val="24"/>
          <w:szCs w:val="24"/>
        </w:rPr>
        <w:t>Code</w:t>
      </w:r>
      <w:r w:rsidRPr="00874F4D">
        <w:rPr>
          <w:rFonts w:ascii="Arial" w:eastAsia="Times New Roman" w:hAnsi="Arial" w:cs="Arial"/>
          <w:sz w:val="24"/>
          <w:szCs w:val="24"/>
        </w:rPr>
        <w:t xml:space="preserve"> para o público digital — e a redação é deliberadamente genérica: não lista itens, patologias, documentos ou endereços eletrônicos, remetendo-os à regulamentação federal e ao regulamento municipal, para que a lei permaneça atual diante das frequentes alterações do Programa, como as ocorridas em 2025 e 2026.</w:t>
      </w:r>
    </w:p>
    <w:p w:rsidR="00874F4D" w:rsidRPr="00874F4D" w:rsidP="00874F4D" w14:paraId="743BFB1F" w14:textId="77777777">
      <w:pPr>
        <w:spacing w:line="300" w:lineRule="auto"/>
        <w:ind w:firstLine="709"/>
        <w:jc w:val="both"/>
        <w:rPr>
          <w:rFonts w:ascii="Arial" w:hAnsi="Arial" w:cs="Arial"/>
        </w:rPr>
      </w:pPr>
      <w:r w:rsidRPr="00874F4D">
        <w:rPr>
          <w:rFonts w:ascii="Arial" w:eastAsia="Times New Roman" w:hAnsi="Arial" w:cs="Arial"/>
          <w:b/>
          <w:bCs/>
          <w:sz w:val="24"/>
          <w:szCs w:val="24"/>
        </w:rPr>
        <w:t>Da competência e da iniciativa parlamentar.</w:t>
      </w:r>
      <w:r w:rsidRPr="00874F4D">
        <w:rPr>
          <w:rFonts w:ascii="Arial" w:eastAsia="Times New Roman" w:hAnsi="Arial" w:cs="Arial"/>
          <w:sz w:val="24"/>
          <w:szCs w:val="24"/>
        </w:rPr>
        <w:t xml:space="preserve"> A matéria é de interesse local e de competência comum em saúde (art. 30, I, II e VII, e art. 23, II, da Constituição Federal; art. 196 da CF; art. 7º, V, da Lei nº 8.080/1990), e a divulgação de informação de utilidade pública em unidades de saúde municipais configura transparência ativa (art. 5º, XXXIII, e art. 37, § 1º, da CF; </w:t>
      </w:r>
      <w:r w:rsidRPr="00874F4D">
        <w:rPr>
          <w:rFonts w:ascii="Arial" w:eastAsia="Times New Roman" w:hAnsi="Arial" w:cs="Arial"/>
          <w:sz w:val="24"/>
          <w:szCs w:val="24"/>
        </w:rPr>
        <w:t>arts</w:t>
      </w:r>
      <w:r w:rsidRPr="00874F4D">
        <w:rPr>
          <w:rFonts w:ascii="Arial" w:eastAsia="Times New Roman" w:hAnsi="Arial" w:cs="Arial"/>
          <w:sz w:val="24"/>
          <w:szCs w:val="24"/>
        </w:rPr>
        <w:t>. 7º, VI, e 8º da Lei nº 12.527/2011). No plano local, a iniciativa cabe a qualquer Vereador (art. 58 da Lei Orgânica de Sumaré); a reserva do art. 59, II ("organização administrativa, matéria tributária, orçamentária e serviços públicos") não alcança a instituição de um dever geral de informação ao usuário do SUS, pois o projeto não cria órgão, não altera atribuições, não dispõe sobre servidores e remete ao regulamento todo o detalhamento executivo.</w:t>
      </w:r>
    </w:p>
    <w:p w:rsidR="00874F4D" w:rsidRPr="00874F4D" w:rsidP="00874F4D" w14:paraId="3C1DD776" w14:textId="77777777">
      <w:pPr>
        <w:spacing w:line="300" w:lineRule="auto"/>
        <w:ind w:firstLine="709"/>
        <w:jc w:val="both"/>
        <w:rPr>
          <w:rFonts w:ascii="Arial" w:hAnsi="Arial" w:cs="Arial"/>
        </w:rPr>
      </w:pPr>
      <w:r w:rsidRPr="00874F4D">
        <w:rPr>
          <w:rFonts w:ascii="Arial" w:eastAsia="Times New Roman" w:hAnsi="Arial" w:cs="Arial"/>
          <w:sz w:val="24"/>
          <w:szCs w:val="24"/>
        </w:rPr>
        <w:t>O Supremo Tribunal Federal, no Tema 917 da repercussão geral (ARE 878.911-RG/RJ, Rel. Min. Gilmar Mendes), assentou que "não usurpa competência privativa do Chefe do Poder Executivo lei que, embora crie despesa para a Administração, não trata da sua estrutura ou da atribuição de seus órgãos nem do regime jurídico de servidores públicos". Na mesma linha, o Órgão Especial do Tribunal de Justiça de São Paulo reiteradamente valida leis parlamentares de saúde que se limitam a criar o dever e definir seus requisitos essenciais, sem ditar como o Executivo deve agir — foi o que ocorreu com a lei de Taubaté sobre lista de medicamentos disponíveis na rede municipal e com a lei de Jundiaí sobre informação de farmácias populares nas receitas do SUS, ambas mantidas; a fronteira dessa jurisprudência está em não fixar dimensões, locais, prazos ao Executivo ou sanções — exatamente o cuidado observado nesta redação.</w:t>
      </w:r>
    </w:p>
    <w:p w:rsidR="00874F4D" w:rsidRPr="00874F4D" w:rsidP="00874F4D" w14:paraId="5FDFA5CD" w14:textId="77777777">
      <w:pPr>
        <w:spacing w:line="300" w:lineRule="auto"/>
        <w:ind w:firstLine="709"/>
        <w:jc w:val="both"/>
        <w:rPr>
          <w:rFonts w:ascii="Arial" w:hAnsi="Arial" w:cs="Arial"/>
        </w:rPr>
      </w:pPr>
      <w:r w:rsidRPr="00874F4D">
        <w:rPr>
          <w:rFonts w:ascii="Arial" w:eastAsia="Times New Roman" w:hAnsi="Arial" w:cs="Arial"/>
          <w:b/>
          <w:bCs/>
          <w:sz w:val="24"/>
          <w:szCs w:val="24"/>
        </w:rPr>
        <w:t>Da neutralidade e da viabilidade orçamentária.</w:t>
      </w:r>
      <w:r w:rsidRPr="00874F4D">
        <w:rPr>
          <w:rFonts w:ascii="Arial" w:eastAsia="Times New Roman" w:hAnsi="Arial" w:cs="Arial"/>
          <w:sz w:val="24"/>
          <w:szCs w:val="24"/>
        </w:rPr>
        <w:t xml:space="preserve"> A relação isonômica dos estabelecimentos credenciados, sem logomarcas e sem promoção pessoal, atende ao § 1º do art. 37 da Constituição Federal, que exige caráter educativo, informativo ou de orientação social da publicidade dos órgãos públicos. A execução da Lei limita-se à confecção de material impresso e à remissão a canais eletrônicos já existentes, sem criação de serviço, sistema ou contratação — custo diminuto, absorvível pela comunicação institucional ordinária da Secretaria Municipal de Saúde, sem caracterizar despesa obrigatória de caráter continuado.</w:t>
      </w:r>
    </w:p>
    <w:p w:rsidR="00874F4D" w:rsidRPr="00874F4D" w:rsidP="00874F4D" w14:paraId="21E8A4CF" w14:textId="77777777">
      <w:pPr>
        <w:spacing w:after="360" w:line="300" w:lineRule="auto"/>
        <w:ind w:firstLine="709"/>
        <w:jc w:val="both"/>
        <w:rPr>
          <w:rFonts w:ascii="Arial" w:hAnsi="Arial" w:cs="Arial"/>
        </w:rPr>
      </w:pPr>
      <w:r w:rsidRPr="00874F4D">
        <w:rPr>
          <w:rFonts w:ascii="Arial" w:eastAsia="Times New Roman" w:hAnsi="Arial" w:cs="Arial"/>
          <w:sz w:val="24"/>
          <w:szCs w:val="24"/>
        </w:rPr>
        <w:t>Iniciativas semelhantes já vigoram em São Paulo (Lei nº 15.199/2010), Taubaté (Lei nº 5.055/2015) e Jundiaí (Lei nº 8.194/2014), as duas últimas validadas pelo Tribunal de Justiça de São Paulo. Diante do relevante interesse social, contamos com o apoio dos nobres pares para a aprovação deste Projeto de Lei.</w:t>
      </w:r>
    </w:p>
    <w:p w:rsidR="00802039" w14:paraId="75074BEC" w14:textId="77777777">
      <w:pPr>
        <w:jc w:val="both"/>
        <w:rPr>
          <w:rFonts w:ascii="Arial" w:hAnsi="Arial" w:cs="Arial"/>
          <w:sz w:val="24"/>
          <w:szCs w:val="24"/>
        </w:rPr>
      </w:pPr>
      <w:r>
        <w:rPr>
          <w:rFonts w:ascii="Arial" w:hAnsi="Arial" w:cs="Arial"/>
          <w:sz w:val="24"/>
          <w:szCs w:val="24"/>
        </w:rPr>
        <w:t>Diante do relevante interesse social, contamos com o apoio dos nobres pares para a aprovação deste projeto.</w:t>
      </w:r>
    </w:p>
    <w:p w:rsidR="00802039" w14:paraId="33F89BD0" w14:textId="77777777">
      <w:pPr>
        <w:tabs>
          <w:tab w:val="left" w:pos="567"/>
        </w:tabs>
        <w:spacing w:after="0" w:line="240" w:lineRule="auto"/>
        <w:jc w:val="right"/>
        <w:rPr>
          <w:rFonts w:ascii="Arial" w:eastAsia="Arial" w:hAnsi="Arial" w:cs="Arial"/>
          <w:sz w:val="24"/>
          <w:szCs w:val="24"/>
        </w:rPr>
      </w:pPr>
      <w:r>
        <w:rPr>
          <w:rFonts w:ascii="Arial" w:eastAsia="Arial" w:hAnsi="Arial" w:cs="Arial"/>
          <w:sz w:val="24"/>
          <w:szCs w:val="24"/>
        </w:rPr>
        <w:t>Sala das sessões, 09 de setembro de 2026</w:t>
      </w:r>
    </w:p>
    <w:p w:rsidR="00802039" w14:paraId="637E56CC" w14:textId="77777777">
      <w:pPr>
        <w:spacing w:after="0" w:line="276" w:lineRule="auto"/>
        <w:jc w:val="center"/>
        <w:rPr>
          <w:rFonts w:ascii="Arial" w:eastAsia="Arial" w:hAnsi="Arial" w:cs="Arial"/>
          <w:b/>
          <w:sz w:val="24"/>
          <w:szCs w:val="24"/>
        </w:rPr>
      </w:pPr>
      <w:r>
        <w:rPr>
          <w:rFonts w:ascii="Arial" w:eastAsia="Arial" w:hAnsi="Arial" w:cs="Arial"/>
          <w:noProof/>
          <w:color w:val="000000"/>
          <w:sz w:val="24"/>
          <w:szCs w:val="24"/>
        </w:rPr>
        <w:drawing>
          <wp:inline distT="0" distB="0" distL="0" distR="0">
            <wp:extent cx="2124075" cy="9620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18459" name="Imagem 2"/>
                    <pic:cNvPicPr>
                      <a:picLocks noChangeAspect="1" noChangeArrowheads="1"/>
                    </pic:cNvPicPr>
                  </pic:nvPicPr>
                  <pic:blipFill>
                    <a:blip xmlns:r="http://schemas.openxmlformats.org/officeDocument/2006/relationships" r:embed="rId5" cstate="print"/>
                    <a:stretch>
                      <a:fillRect/>
                    </a:stretch>
                  </pic:blipFill>
                  <pic:spPr bwMode="auto">
                    <a:xfrm>
                      <a:off x="0" y="0"/>
                      <a:ext cx="2124075" cy="962025"/>
                    </a:xfrm>
                    <a:prstGeom prst="rect">
                      <a:avLst/>
                    </a:prstGeom>
                    <a:noFill/>
                    <a:ln>
                      <a:noFill/>
                    </a:ln>
                  </pic:spPr>
                </pic:pic>
              </a:graphicData>
            </a:graphic>
          </wp:inline>
        </w:drawing>
      </w:r>
    </w:p>
    <w:p w:rsidR="00802039" w14:paraId="00D4C0F5" w14:textId="77777777">
      <w:pPr>
        <w:spacing w:after="0" w:line="276" w:lineRule="auto"/>
        <w:jc w:val="center"/>
        <w:rPr>
          <w:rFonts w:ascii="Arial" w:eastAsia="Arial" w:hAnsi="Arial" w:cs="Arial"/>
          <w:b/>
          <w:sz w:val="24"/>
          <w:szCs w:val="24"/>
        </w:rPr>
      </w:pPr>
      <w:r>
        <w:rPr>
          <w:rFonts w:ascii="Arial" w:eastAsia="Arial" w:hAnsi="Arial" w:cs="Arial"/>
          <w:b/>
          <w:sz w:val="24"/>
          <w:szCs w:val="24"/>
        </w:rPr>
        <w:t>César Bianchi</w:t>
      </w:r>
    </w:p>
    <w:p w:rsidR="00802039" w14:paraId="7CFB193E" w14:textId="77777777">
      <w:pPr>
        <w:spacing w:after="0" w:line="276" w:lineRule="auto"/>
        <w:jc w:val="center"/>
        <w:rPr>
          <w:rFonts w:ascii="Arial" w:eastAsia="Arial" w:hAnsi="Arial" w:cs="Arial"/>
          <w:sz w:val="24"/>
          <w:szCs w:val="24"/>
        </w:rPr>
      </w:pPr>
      <w:r>
        <w:rPr>
          <w:rFonts w:ascii="Arial" w:eastAsia="Arial" w:hAnsi="Arial" w:cs="Arial"/>
          <w:sz w:val="24"/>
          <w:szCs w:val="24"/>
        </w:rPr>
        <w:t>Vereador</w:t>
      </w:r>
    </w:p>
    <w:p w:rsidR="00802039" w14:paraId="4804601A" w14:textId="77777777">
      <w:pPr>
        <w:spacing w:after="0" w:line="276" w:lineRule="auto"/>
        <w:jc w:val="center"/>
        <w:rPr>
          <w:rFonts w:ascii="Arial" w:eastAsia="Arial" w:hAnsi="Arial" w:cs="Arial"/>
          <w:sz w:val="24"/>
          <w:szCs w:val="24"/>
        </w:rPr>
      </w:pPr>
      <w:r>
        <w:rPr>
          <w:rFonts w:ascii="Arial" w:eastAsia="Arial" w:hAnsi="Arial" w:cs="Arial"/>
          <w:sz w:val="24"/>
          <w:szCs w:val="24"/>
        </w:rPr>
        <w:t>Partido Progressistas</w:t>
      </w:r>
    </w:p>
    <w:sectPr>
      <w:pgSz w:w="11906" w:h="16838"/>
      <w:pgMar w:top="1417" w:right="1274" w:bottom="1417"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74F818E8"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eading=h.3znysh7" w:colFirst="0" w:colLast="0"/>
  <w:bookmarkEnd w:id="0"/>
  <w:p w:rsidR="00D700DB" w14:paraId="773A7F13" w14:textId="77777777">
    <w:r>
      <w:rPr>
        <w:noProof/>
      </w:rPr>
      <mc:AlternateContent>
        <mc:Choice Requires="wps">
          <w:drawing>
            <wp:anchor distT="0" distB="0" distL="114300" distR="114300" simplePos="0" relativeHeight="251662336" behindDoc="0" locked="0" layoutInCell="1" allowOverlap="1">
              <wp:simplePos x="0" y="0"/>
              <wp:positionH relativeFrom="column">
                <wp:posOffset>-330199</wp:posOffset>
              </wp:positionH>
              <wp:positionV relativeFrom="paragraph">
                <wp:posOffset>50800</wp:posOffset>
              </wp:positionV>
              <wp:extent cx="6300527" cy="76200"/>
              <wp:effectExtent l="0" t="0" r="0" b="0"/>
              <wp:wrapNone/>
              <wp:docPr id="1527961940" name="Conector de Seta Reta 1527961940"/>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0000"/>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-330199</wp:posOffset>
              </wp:positionH>
              <wp:positionV relativeFrom="paragraph">
                <wp:posOffset>50800</wp:posOffset>
              </wp:positionV>
              <wp:extent cx="6300527" cy="76200"/>
              <wp:effectExtent l="0" t="0" r="0" b="0"/>
              <wp:wrapNone/>
              <wp:docPr id="1255408802" name="image2.png"/>
              <wp:cNvGraphicFramePr/>
              <a:graphic xmlns:a="http://schemas.openxmlformats.org/drawingml/2006/main">
                <a:graphicData uri="http://schemas.openxmlformats.org/drawingml/2006/picture">
                  <pic:pic xmlns:pic="http://schemas.openxmlformats.org/drawingml/2006/picture">
                    <pic:nvPicPr>
                      <pic:cNvPr id="2055792745" name="image2.png"/>
                      <pic:cNvPicPr/>
                    </pic:nvPicPr>
                    <pic:blipFill>
                      <a:blip xmlns:r="http://schemas.openxmlformats.org/officeDocument/2006/relationships" r:embed="rId1"/>
                      <a:stretch>
                        <a:fillRect/>
                      </a:stretch>
                    </pic:blipFill>
                    <pic:spPr>
                      <a:xfrm>
                        <a:off x="0" y="0"/>
                        <a:ext cx="6300527" cy="76200"/>
                      </a:xfrm>
                      <a:prstGeom prst="rect">
                        <a:avLst/>
                      </a:prstGeom>
                    </pic:spPr>
                  </pic:pic>
                </a:graphicData>
              </a:graphic>
            </wp:anchor>
          </w:drawing>
        </mc:Fallback>
      </mc:AlternateContent>
    </w:r>
  </w:p>
  <w:p w:rsidR="00D700DB" w14:paraId="1A29F5D0" w14:textId="77777777">
    <w: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4FF88E21"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4BB3996C" w14:textId="77777777">
    <w:r>
      <w:rPr>
        <w:noProof/>
      </w:rPr>
      <w:drawing>
        <wp:inline distT="0" distB="0" distL="0" distR="0">
          <wp:extent cx="1526058" cy="534121"/>
          <wp:effectExtent l="0" t="0" r="0" b="0"/>
          <wp:docPr id="1527961942" name="image1.png"/>
          <wp:cNvGraphicFramePr/>
          <a:graphic xmlns:a="http://schemas.openxmlformats.org/drawingml/2006/main">
            <a:graphicData uri="http://schemas.openxmlformats.org/drawingml/2006/picture">
              <pic:pic xmlns:pic="http://schemas.openxmlformats.org/drawingml/2006/picture">
                <pic:nvPicPr>
                  <pic:cNvPr id="1488981074"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Pr>
        <w:noProof/>
      </w:rPr>
      <mc:AlternateContent>
        <mc:Choice Requires="wpg">
          <w:drawing>
            <wp:anchor distT="0" distB="0" distL="0" distR="0" simplePos="0" relativeHeight="251660288" behindDoc="1" locked="0" layoutInCell="1" allowOverlap="1">
              <wp:simplePos x="0" y="0"/>
              <wp:positionH relativeFrom="column">
                <wp:posOffset>-800099</wp:posOffset>
              </wp:positionH>
              <wp:positionV relativeFrom="paragraph">
                <wp:posOffset>0</wp:posOffset>
              </wp:positionV>
              <wp:extent cx="7557712" cy="10270358"/>
              <wp:effectExtent l="0" t="0" r="0" b="0"/>
              <wp:wrapNone/>
              <wp:docPr id="1527961941" name="Agrupar 1527961941"/>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1567125" y="0"/>
                        <a:chExt cx="7557750" cy="7560000"/>
                      </a:xfrm>
                    </wpg:grpSpPr>
                    <wpg:grpSp>
                      <wpg:cNvPr id="2" name="Agrupar 1"/>
                      <wpg:cNvGrpSpPr/>
                      <wpg:grpSpPr>
                        <a:xfrm>
                          <a:off x="1567144" y="0"/>
                          <a:ext cx="7557712" cy="7560000"/>
                          <a:chOff x="1567125" y="0"/>
                          <a:chExt cx="7557750" cy="7560000"/>
                        </a:xfrm>
                      </wpg:grpSpPr>
                      <wps:wsp xmlns:wps="http://schemas.microsoft.com/office/word/2010/wordprocessingShape">
                        <wps:cNvPr id="3" name="Retângulo 2"/>
                        <wps:cNvSpPr/>
                        <wps:spPr>
                          <a:xfrm>
                            <a:off x="1567125" y="0"/>
                            <a:ext cx="755775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4" name="Agrupar 3"/>
                        <wpg:cNvGrpSpPr/>
                        <wpg:grpSpPr>
                          <a:xfrm>
                            <a:off x="1567144" y="0"/>
                            <a:ext cx="7557712" cy="7560000"/>
                            <a:chOff x="1567125" y="0"/>
                            <a:chExt cx="7557750" cy="7560000"/>
                          </a:xfrm>
                        </wpg:grpSpPr>
                        <wps:wsp xmlns:wps="http://schemas.microsoft.com/office/word/2010/wordprocessingShape">
                          <wps:cNvPr id="5" name="Retângulo 4"/>
                          <wps:cNvSpPr/>
                          <wps:spPr>
                            <a:xfrm>
                              <a:off x="1567125" y="0"/>
                              <a:ext cx="755775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6" name="Agrupar 5"/>
                          <wpg:cNvGrpSpPr/>
                          <wpg:grpSpPr>
                            <a:xfrm>
                              <a:off x="1567144" y="0"/>
                              <a:ext cx="7557712" cy="7560000"/>
                              <a:chOff x="1567144" y="0"/>
                              <a:chExt cx="7557712" cy="7560000"/>
                            </a:xfrm>
                          </wpg:grpSpPr>
                          <wps:wsp xmlns:wps="http://schemas.microsoft.com/office/word/2010/wordprocessingShape">
                            <wps:cNvPr id="7" name="Retângulo 6"/>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8" name="Agrupar 7"/>
                            <wpg:cNvGrpSpPr/>
                            <wpg:grpSpPr>
                              <a:xfrm>
                                <a:off x="1567144" y="0"/>
                                <a:ext cx="7557712" cy="7560000"/>
                                <a:chOff x="1567144" y="0"/>
                                <a:chExt cx="7557712" cy="7560000"/>
                              </a:xfrm>
                            </wpg:grpSpPr>
                            <wps:wsp xmlns:wps="http://schemas.microsoft.com/office/word/2010/wordprocessingShape">
                              <wps:cNvPr id="9" name="Retângulo 8"/>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10" name="Agrupar 9"/>
                              <wpg:cNvGrpSpPr/>
                              <wpg:grpSpPr>
                                <a:xfrm>
                                  <a:off x="1567144" y="0"/>
                                  <a:ext cx="7557712" cy="7560000"/>
                                  <a:chOff x="1567144" y="0"/>
                                  <a:chExt cx="7557712" cy="7560000"/>
                                </a:xfrm>
                              </wpg:grpSpPr>
                              <wps:wsp xmlns:wps="http://schemas.microsoft.com/office/word/2010/wordprocessingShape">
                                <wps:cNvPr id="11" name="Retângulo 10"/>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12" name="Agrupar 11"/>
                                <wpg:cNvGrpSpPr/>
                                <wpg:grpSpPr>
                                  <a:xfrm>
                                    <a:off x="1567144" y="0"/>
                                    <a:ext cx="7557712" cy="7560000"/>
                                    <a:chOff x="0" y="0"/>
                                    <a:chExt cx="7557712" cy="10270358"/>
                                  </a:xfrm>
                                </wpg:grpSpPr>
                                <wps:wsp xmlns:wps="http://schemas.microsoft.com/office/word/2010/wordprocessingShape">
                                  <wps:cNvPr id="13" name="Retângulo 12"/>
                                  <wps:cNvSpPr/>
                                  <wps:spPr>
                                    <a:xfrm>
                                      <a:off x="0" y="0"/>
                                      <a:ext cx="7557700" cy="1027035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s:wsp xmlns:wps="http://schemas.microsoft.com/office/word/2010/wordprocessingShape">
                                  <wps:cNvPr id="14" name="Forma Livre: Forma 13"/>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15" name="Forma Livre: Forma 14"/>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16" name="Forma Livre: Forma 15"/>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grpSp>
                        </wpg:grpSp>
                      </wpg:grpSp>
                    </wpg:grpSp>
                  </wpg:wgp>
                </a:graphicData>
              </a:graphic>
            </wp:anchor>
          </w:drawing>
        </mc:Choice>
        <mc:Fallback>
          <w:pict>
            <v:group id="Agrupar 1527961941" o:spid="_x0000_s2049" style="width:595.1pt;height:808.7pt;margin-top:0;margin-left:-63pt;mso-wrap-distance-left:0;mso-wrap-distance-right:0;position:absolute;z-index:-251655168" coordorigin="15671,0" coordsize="75577,75600">
              <v:group id="Agrupar 1" o:spid="_x0000_s2050" style="width:75577;height:75600;left:15671;position:absolute" coordorigin="15671,0" coordsize="75577,75600">
                <v:rect id="Retângulo 2" o:spid="_x0000_s2051" style="width:75577;height:75600;left:15671;mso-wrap-style:square;position:absolute;visibility:visible;v-text-anchor:middle" filled="f" stroked="f">
                  <v:textbox inset="7.2pt,7.2pt,7.2pt,7.2pt">
                    <w:txbxContent>
                      <w:p w:rsidR="00D700DB" w14:paraId="00C63E9D" w14:textId="77777777">
                        <w:pPr>
                          <w:spacing w:after="0" w:line="240" w:lineRule="auto"/>
                        </w:pPr>
                      </w:p>
                    </w:txbxContent>
                  </v:textbox>
                </v:rect>
                <v:group id="Agrupar 3" o:spid="_x0000_s2052" style="width:75577;height:75600;left:15671;position:absolute" coordorigin="15671,0" coordsize="75577,75600">
                  <v:rect id="Retângulo 4" o:spid="_x0000_s2053" style="width:75577;height:75600;left:15671;mso-wrap-style:square;position:absolute;visibility:visible;v-text-anchor:middle" filled="f" stroked="f">
                    <v:textbox inset="7.2pt,7.2pt,7.2pt,7.2pt">
                      <w:txbxContent>
                        <w:p w:rsidR="00D700DB" w14:paraId="1035A012" w14:textId="77777777">
                          <w:pPr>
                            <w:spacing w:after="0" w:line="240" w:lineRule="auto"/>
                          </w:pPr>
                        </w:p>
                      </w:txbxContent>
                    </v:textbox>
                  </v:rect>
                  <v:group id="Agrupar 5" o:spid="_x0000_s2054" style="width:75577;height:75600;left:15671;position:absolute" coordorigin="15671,0" coordsize="75577,75600">
                    <v:rect id="Retângulo 6" o:spid="_x0000_s2055" style="width:75577;height:75600;left:15671;mso-wrap-style:square;position:absolute;visibility:visible;v-text-anchor:middle" filled="f" stroked="f">
                      <v:textbox inset="7.2pt,7.2pt,7.2pt,7.2pt">
                        <w:txbxContent>
                          <w:p w:rsidR="00D700DB" w14:paraId="69911E4C" w14:textId="77777777">
                            <w:pPr>
                              <w:spacing w:after="0" w:line="240" w:lineRule="auto"/>
                            </w:pPr>
                          </w:p>
                        </w:txbxContent>
                      </v:textbox>
                    </v:rect>
                    <v:group id="Agrupar 7" o:spid="_x0000_s2056" style="width:75577;height:75600;left:15671;position:absolute" coordorigin="15671,0" coordsize="75577,75600">
                      <v:rect id="Retângulo 8" o:spid="_x0000_s2057" style="width:75577;height:75600;left:15671;mso-wrap-style:square;position:absolute;visibility:visible;v-text-anchor:middle" filled="f" stroked="f">
                        <v:textbox inset="7.2pt,7.2pt,7.2pt,7.2pt">
                          <w:txbxContent>
                            <w:p w:rsidR="00D700DB" w14:paraId="75BA314E" w14:textId="77777777">
                              <w:pPr>
                                <w:spacing w:after="0" w:line="240" w:lineRule="auto"/>
                              </w:pPr>
                            </w:p>
                          </w:txbxContent>
                        </v:textbox>
                      </v:rect>
                      <v:group id="Agrupar 9" o:spid="_x0000_s2058" style="width:75577;height:75600;left:15671;position:absolute" coordorigin="15671,0" coordsize="75577,75600">
                        <v:rect id="Retângulo 10" o:spid="_x0000_s2059" style="width:75577;height:75600;left:15671;mso-wrap-style:square;position:absolute;visibility:visible;v-text-anchor:middle" filled="f" stroked="f">
                          <v:textbox inset="7.2pt,7.2pt,7.2pt,7.2pt">
                            <w:txbxContent>
                              <w:p w:rsidR="00D700DB" w14:paraId="1220E2AD" w14:textId="77777777">
                                <w:pPr>
                                  <w:spacing w:after="0" w:line="240" w:lineRule="auto"/>
                                </w:pPr>
                              </w:p>
                            </w:txbxContent>
                          </v:textbox>
                        </v:rect>
                        <v:group id="Agrupar 11" o:spid="_x0000_s2060" style="width:75577;height:75600;left:15671;position:absolute" coordsize="75577,102703">
                          <v:rect id="Retângulo 12" o:spid="_x0000_s2061" style="width:75577;height:102703;mso-wrap-style:square;position:absolute;visibility:visible;v-text-anchor:middle" filled="f" stroked="f">
                            <v:textbox inset="7.2pt,7.2pt,7.2pt,7.2pt">
                              <w:txbxContent>
                                <w:p w:rsidR="00D700DB" w14:paraId="54A109EC" w14:textId="77777777">
                                  <w:pPr>
                                    <w:spacing w:after="0" w:line="240" w:lineRule="auto"/>
                                  </w:pPr>
                                </w:p>
                              </w:txbxContent>
                            </v:textbox>
                          </v:rect>
                          <v:shape id="Forma Livre: Forma 13" o:spid="_x0000_s2062" style="width:65837;height:19368;left:9737;mso-wrap-style:square;position:absolute;top:65195;visibility:visible;v-text-anchor:middle"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v:shape>
                          <v:shape id="Forma Livre: Forma 14" o:spid="_x0000_s2063" style="width:38754;height:75984;mso-wrap-style:square;position:absolute;top:26719;visibility:visible;v-text-anchor:middle"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v:shape>
                          <v:shape id="Forma Livre: Forma 15" o:spid="_x0000_s2064" style="width:29026;height:102641;left:46551;mso-wrap-style:square;position:absolute;visibility:visible;v-text-anchor:middle"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v:shape>
                        </v:group>
                      </v:group>
                    </v:group>
                  </v:group>
                </v:group>
              </v:group>
            </v:group>
          </w:pict>
        </mc:Fallback>
      </mc:AlternateContent>
    </w:r>
    <w:r>
      <w:drawing>
        <wp:anchor simplePos="0" relativeHeight="251658240" behindDoc="0" locked="0" layoutInCell="1" allowOverlap="1">
          <wp:simplePos x="0" y="0"/>
          <wp:positionH relativeFrom="rightMargin">
            <wp:align>center</wp:align>
          </wp:positionH>
          <wp:positionV relativeFrom="page">
            <wp:align>center</wp:align>
          </wp:positionV>
          <wp:extent cx="381000" cy="6724650"/>
          <wp:wrapNone/>
          <wp:docPr id="10003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
                  <a:stretch>
                    <a:fillRect/>
                  </a:stretch>
                </pic:blipFill>
                <pic:spPr>
                  <a:xfrm>
                    <a:off x="0" y="0"/>
                    <a:ext cx="381000" cy="6724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4EF24B6"/>
    <w:multiLevelType w:val="hybridMultilevel"/>
    <w:tmpl w:val="2F70588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CB4AF7"/>
    <w:multiLevelType w:val="multilevel"/>
    <w:tmpl w:val="4B04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44DEC"/>
    <w:multiLevelType w:val="hybridMultilevel"/>
    <w:tmpl w:val="2BAE076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AC10DD9"/>
    <w:multiLevelType w:val="hybridMultilevel"/>
    <w:tmpl w:val="D376D74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0DB"/>
    <w:rsid w:val="000218B7"/>
    <w:rsid w:val="000739A9"/>
    <w:rsid w:val="00081631"/>
    <w:rsid w:val="00090707"/>
    <w:rsid w:val="000E2B57"/>
    <w:rsid w:val="000F2A98"/>
    <w:rsid w:val="00166C90"/>
    <w:rsid w:val="001731A3"/>
    <w:rsid w:val="001C088E"/>
    <w:rsid w:val="001E52E7"/>
    <w:rsid w:val="00246E93"/>
    <w:rsid w:val="003E0B1E"/>
    <w:rsid w:val="004023DD"/>
    <w:rsid w:val="004A1900"/>
    <w:rsid w:val="00520110"/>
    <w:rsid w:val="005237DB"/>
    <w:rsid w:val="005832BE"/>
    <w:rsid w:val="005E0DBD"/>
    <w:rsid w:val="00671AD0"/>
    <w:rsid w:val="00685E7C"/>
    <w:rsid w:val="006E7FF2"/>
    <w:rsid w:val="006F55AA"/>
    <w:rsid w:val="007177F2"/>
    <w:rsid w:val="00771915"/>
    <w:rsid w:val="00774976"/>
    <w:rsid w:val="00802039"/>
    <w:rsid w:val="008070C3"/>
    <w:rsid w:val="00874F4D"/>
    <w:rsid w:val="009521AB"/>
    <w:rsid w:val="009C09CC"/>
    <w:rsid w:val="009E57DD"/>
    <w:rsid w:val="00A4474E"/>
    <w:rsid w:val="00A53E19"/>
    <w:rsid w:val="00B01755"/>
    <w:rsid w:val="00B03659"/>
    <w:rsid w:val="00B463BE"/>
    <w:rsid w:val="00B96E43"/>
    <w:rsid w:val="00B979CB"/>
    <w:rsid w:val="00BB02EA"/>
    <w:rsid w:val="00BB1064"/>
    <w:rsid w:val="00C84955"/>
    <w:rsid w:val="00D06B7E"/>
    <w:rsid w:val="00D35DA1"/>
    <w:rsid w:val="00D700DB"/>
    <w:rsid w:val="00E25269"/>
    <w:rsid w:val="00E638B0"/>
    <w:rsid w:val="00E65655"/>
    <w:rsid w:val="00E711BE"/>
    <w:rsid w:val="00ED543F"/>
    <w:rsid w:val="00F03839"/>
    <w:rsid w:val="00F667F1"/>
    <w:rsid w:val="00F86990"/>
    <w:rsid w:val="00FB6868"/>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3425F0A3-5944-4E2E-A47C-F315ABF71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0"/>
    <w:next w:val="Normal0"/>
    <w:uiPriority w:val="9"/>
    <w:qFormat/>
    <w:pPr>
      <w:keepNext/>
      <w:keepLines/>
      <w:spacing w:before="480" w:after="120"/>
      <w:outlineLvl w:val="0"/>
    </w:pPr>
    <w:rPr>
      <w:b/>
      <w:sz w:val="48"/>
      <w:szCs w:val="48"/>
    </w:rPr>
  </w:style>
  <w:style w:type="paragraph" w:styleId="Heading2">
    <w:name w:val="heading 2"/>
    <w:basedOn w:val="Normal0"/>
    <w:next w:val="Normal0"/>
    <w:uiPriority w:val="9"/>
    <w:semiHidden/>
    <w:unhideWhenUsed/>
    <w:qFormat/>
    <w:pPr>
      <w:keepNext/>
      <w:keepLines/>
      <w:spacing w:before="360" w:after="80"/>
      <w:outlineLvl w:val="1"/>
    </w:pPr>
    <w:rPr>
      <w:b/>
      <w:sz w:val="36"/>
      <w:szCs w:val="36"/>
    </w:rPr>
  </w:style>
  <w:style w:type="paragraph" w:styleId="Heading3">
    <w:name w:val="heading 3"/>
    <w:basedOn w:val="Normal0"/>
    <w:next w:val="Normal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0"/>
    <w:next w:val="Normal0"/>
    <w:uiPriority w:val="9"/>
    <w:semiHidden/>
    <w:unhideWhenUsed/>
    <w:qFormat/>
    <w:pPr>
      <w:keepNext/>
      <w:keepLines/>
      <w:spacing w:before="240" w:after="40"/>
      <w:outlineLvl w:val="3"/>
    </w:pPr>
    <w:rPr>
      <w:b/>
      <w:sz w:val="24"/>
      <w:szCs w:val="24"/>
    </w:rPr>
  </w:style>
  <w:style w:type="paragraph" w:styleId="Heading5">
    <w:name w:val="heading 5"/>
    <w:basedOn w:val="Normal0"/>
    <w:next w:val="Normal0"/>
    <w:uiPriority w:val="9"/>
    <w:semiHidden/>
    <w:unhideWhenUsed/>
    <w:qFormat/>
    <w:pPr>
      <w:keepNext/>
      <w:keepLines/>
      <w:spacing w:before="220" w:after="40"/>
      <w:outlineLvl w:val="4"/>
    </w:pPr>
    <w:rPr>
      <w:b/>
    </w:rPr>
  </w:style>
  <w:style w:type="paragraph" w:styleId="Heading6">
    <w:name w:val="heading 6"/>
    <w:basedOn w:val="Normal0"/>
    <w:next w:val="Normal0"/>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0"/>
    <w:next w:val="Normal0"/>
    <w:uiPriority w:val="10"/>
    <w:qFormat/>
    <w:pPr>
      <w:keepNext/>
      <w:keepLines/>
      <w:spacing w:before="480" w:after="120"/>
    </w:pPr>
    <w:rPr>
      <w:b/>
      <w:sz w:val="72"/>
      <w:szCs w:val="72"/>
    </w:rPr>
  </w:style>
  <w:style w:type="table" w:customStyle="1" w:styleId="TableNormal1">
    <w:name w:val="Table Normal_1"/>
    <w:tblPr>
      <w:tblCellMar>
        <w:top w:w="0" w:type="dxa"/>
        <w:left w:w="0" w:type="dxa"/>
        <w:bottom w:w="0" w:type="dxa"/>
        <w:right w:w="0" w:type="dxa"/>
      </w:tblCellMar>
    </w:tblPr>
  </w:style>
  <w:style w:type="paragraph" w:customStyle="1" w:styleId="Normal0">
    <w:name w:val="Normal_0"/>
    <w:qFormat/>
    <w:rsid w:val="000D4195"/>
  </w:style>
  <w:style w:type="paragraph" w:customStyle="1" w:styleId="Heading10">
    <w:name w:val="Heading 1_0"/>
    <w:basedOn w:val="Normal0"/>
    <w:next w:val="Normal0"/>
    <w:uiPriority w:val="9"/>
    <w:qFormat/>
    <w:pPr>
      <w:keepNext/>
      <w:keepLines/>
      <w:spacing w:before="480" w:after="120"/>
      <w:outlineLvl w:val="0"/>
    </w:pPr>
    <w:rPr>
      <w:b/>
      <w:sz w:val="48"/>
      <w:szCs w:val="48"/>
    </w:rPr>
  </w:style>
  <w:style w:type="paragraph" w:customStyle="1" w:styleId="Heading20">
    <w:name w:val="Heading 2_0"/>
    <w:basedOn w:val="Normal0"/>
    <w:next w:val="Normal0"/>
    <w:uiPriority w:val="9"/>
    <w:semiHidden/>
    <w:unhideWhenUsed/>
    <w:qFormat/>
    <w:pPr>
      <w:keepNext/>
      <w:keepLines/>
      <w:spacing w:before="360" w:after="80"/>
      <w:outlineLvl w:val="1"/>
    </w:pPr>
    <w:rPr>
      <w:b/>
      <w:sz w:val="36"/>
      <w:szCs w:val="36"/>
    </w:rPr>
  </w:style>
  <w:style w:type="paragraph" w:customStyle="1" w:styleId="Heading30">
    <w:name w:val="Heading 3_0"/>
    <w:basedOn w:val="Normal0"/>
    <w:link w:val="Ttulo3Char"/>
    <w:uiPriority w:val="9"/>
    <w:semiHidden/>
    <w:unhideWhenUsed/>
    <w:qFormat/>
    <w:rsid w:val="006C41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customStyle="1" w:styleId="Heading40">
    <w:name w:val="Heading 4_0"/>
    <w:basedOn w:val="Normal0"/>
    <w:next w:val="Normal0"/>
    <w:uiPriority w:val="9"/>
    <w:semiHidden/>
    <w:unhideWhenUsed/>
    <w:qFormat/>
    <w:pPr>
      <w:keepNext/>
      <w:keepLines/>
      <w:spacing w:before="240" w:after="40"/>
      <w:outlineLvl w:val="3"/>
    </w:pPr>
    <w:rPr>
      <w:b/>
      <w:sz w:val="24"/>
      <w:szCs w:val="24"/>
    </w:rPr>
  </w:style>
  <w:style w:type="paragraph" w:customStyle="1" w:styleId="Heading50">
    <w:name w:val="Heading 5_0"/>
    <w:basedOn w:val="Normal0"/>
    <w:next w:val="Normal0"/>
    <w:uiPriority w:val="9"/>
    <w:semiHidden/>
    <w:unhideWhenUsed/>
    <w:qFormat/>
    <w:pPr>
      <w:keepNext/>
      <w:keepLines/>
      <w:spacing w:before="220" w:after="40"/>
      <w:outlineLvl w:val="4"/>
    </w:pPr>
    <w:rPr>
      <w:b/>
    </w:rPr>
  </w:style>
  <w:style w:type="paragraph" w:customStyle="1" w:styleId="Heading60">
    <w:name w:val="Heading 6_0"/>
    <w:basedOn w:val="Normal0"/>
    <w:next w:val="Normal0"/>
    <w:uiPriority w:val="9"/>
    <w:semiHidden/>
    <w:unhideWhenUsed/>
    <w:qFormat/>
    <w:pPr>
      <w:keepNext/>
      <w:keepLines/>
      <w:spacing w:before="200" w:after="40"/>
      <w:outlineLvl w:val="5"/>
    </w:pPr>
    <w:rPr>
      <w:b/>
      <w:sz w:val="20"/>
      <w:szCs w:val="20"/>
    </w:rPr>
  </w:style>
  <w:style w:type="table" w:customStyle="1" w:styleId="TableNormal00">
    <w:name w:val="Table Normal_0_0"/>
    <w:uiPriority w:val="99"/>
    <w:semiHidden/>
    <w:unhideWhenUsed/>
    <w:tblPr>
      <w:tblInd w:w="0" w:type="dxa"/>
      <w:tblCellMar>
        <w:top w:w="0" w:type="dxa"/>
        <w:left w:w="108" w:type="dxa"/>
        <w:bottom w:w="0" w:type="dxa"/>
        <w:right w:w="108" w:type="dxa"/>
      </w:tblCellMar>
    </w:tblPr>
  </w:style>
  <w:style w:type="table" w:customStyle="1" w:styleId="TableNormal10">
    <w:name w:val="Table Normal_1_0"/>
    <w:tblPr>
      <w:tblCellMar>
        <w:top w:w="0" w:type="dxa"/>
        <w:left w:w="0" w:type="dxa"/>
        <w:bottom w:w="0" w:type="dxa"/>
        <w:right w:w="0" w:type="dxa"/>
      </w:tblCellMar>
    </w:tblPr>
  </w:style>
  <w:style w:type="paragraph" w:customStyle="1" w:styleId="Title0">
    <w:name w:val="Title_0"/>
    <w:basedOn w:val="Normal0"/>
    <w:next w:val="Normal0"/>
    <w:uiPriority w:val="10"/>
    <w:qFormat/>
    <w:pPr>
      <w:keepNext/>
      <w:keepLines/>
      <w:spacing w:before="480" w:after="120"/>
    </w:pPr>
    <w:rPr>
      <w:b/>
      <w:sz w:val="72"/>
      <w:szCs w:val="72"/>
    </w:rPr>
  </w:style>
  <w:style w:type="table" w:customStyle="1" w:styleId="TableNormal2">
    <w:name w:val="Table Normal_2"/>
    <w:tblPr>
      <w:tblCellMar>
        <w:top w:w="0" w:type="dxa"/>
        <w:left w:w="0" w:type="dxa"/>
        <w:bottom w:w="0" w:type="dxa"/>
        <w:right w:w="0" w:type="dxa"/>
      </w:tblCellMar>
    </w:tblPr>
  </w:style>
  <w:style w:type="table" w:customStyle="1" w:styleId="TableNormal3">
    <w:name w:val="Table Normal_3"/>
    <w:tblPr>
      <w:tblCellMar>
        <w:top w:w="0" w:type="dxa"/>
        <w:left w:w="0" w:type="dxa"/>
        <w:bottom w:w="0" w:type="dxa"/>
        <w:right w:w="0" w:type="dxa"/>
      </w:tblCellMar>
    </w:tblPr>
  </w:style>
  <w:style w:type="paragraph" w:styleId="Header">
    <w:name w:val="header"/>
    <w:basedOn w:val="Normal0"/>
    <w:link w:val="Cabealho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DefaultParagraphFont"/>
    <w:link w:val="Header"/>
    <w:uiPriority w:val="99"/>
    <w:rsid w:val="00626437"/>
  </w:style>
  <w:style w:type="paragraph" w:styleId="Footer">
    <w:name w:val="footer"/>
    <w:basedOn w:val="Normal0"/>
    <w:link w:val="Rodap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0"/>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0"/>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cpalertsection">
    <w:name w:val="ocpalertsection"/>
    <w:basedOn w:val="Normal0"/>
    <w:rsid w:val="006C4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0D4195"/>
    <w:rPr>
      <w:rFonts w:ascii="ArialMT" w:hAnsi="ArialMT" w:hint="default"/>
      <w:b w:val="0"/>
      <w:bCs w:val="0"/>
      <w:i w:val="0"/>
      <w:iCs w:val="0"/>
      <w:color w:val="000000"/>
      <w:sz w:val="20"/>
      <w:szCs w:val="20"/>
    </w:rPr>
  </w:style>
  <w:style w:type="paragraph" w:styleId="ListParagraph">
    <w:name w:val="List Paragraph"/>
    <w:basedOn w:val="Normal0"/>
    <w:uiPriority w:val="34"/>
    <w:qFormat/>
    <w:locked/>
    <w:rsid w:val="00F979AD"/>
    <w:pPr>
      <w:ind w:left="720"/>
      <w:contextualSpacing/>
    </w:p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ubtitle0">
    <w:name w:val="Subtitle_0"/>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4.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2Jt0d9pQOhiEwui37KtrgsrXCQ==">CgMxLjAyDmguZjEwMnE1bHY4ZHNxMghoLmdqZGd4czIOaC5udmxzOXJpOG94MDQyDmguajgyOXNlMjhjdTA5MgloLjN6bnlzaDc4AHIhMTRsMWo4UDFKYVhkblFTWENidlYwSG1nWUJycUs2R05s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1750</Words>
  <Characters>9455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Pedro Henrique dos Santos</cp:lastModifiedBy>
  <cp:revision>6</cp:revision>
  <cp:lastPrinted>2026-09-09T19:04:00Z</cp:lastPrinted>
  <dcterms:created xsi:type="dcterms:W3CDTF">2026-09-09T17:18:00Z</dcterms:created>
  <dcterms:modified xsi:type="dcterms:W3CDTF">2026-09-09T19:06:00Z</dcterms:modified>
</cp:coreProperties>
</file>