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7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7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Cadastro Municipal Integrado de Crianças e Adolescentes Órfãos do Feminicídio no Município de Sumaré, estabelece mecanismos de integração de informações entre os órgãos da rede municipal de proteçã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