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de Orientação e Preparação dos Estudantes da Rede Municipal de Ensino para o ingresso nas Escolas Técnicas Estaduais – ETECs,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