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249/2026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autorização ao executivo municipal para promover a abertura de crédito adicional suplementar  no orçamento vigente no valor de R$ 500.000,00 (quinhentos mil reais) para os fins que especifica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