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249/2026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 autorização ao executivo municipal para promover a abertura de crédito adicional suplementar  no orçamento vigente no valor de R$ 500.000,00 (quinhentos mil reais) para os fins que especifica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