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38275D" w:rsidRPr="003A0C5E" w:rsidP="0038275D" w14:paraId="033A9ECB" w14:textId="77777777">
      <w:pPr>
        <w:spacing w:line="360" w:lineRule="auto"/>
        <w:jc w:val="both"/>
        <w:rPr>
          <w:rFonts w:ascii="Arial" w:hAnsi="Arial" w:cs="Arial"/>
        </w:rPr>
      </w:pPr>
    </w:p>
    <w:p w:rsidR="0038275D" w:rsidRPr="003A0C5E" w:rsidP="0038275D" w14:paraId="7AEA770F" w14:textId="77777777">
      <w:pPr>
        <w:spacing w:line="360" w:lineRule="auto"/>
        <w:jc w:val="both"/>
        <w:rPr>
          <w:rFonts w:ascii="Arial" w:hAnsi="Arial" w:cs="Arial"/>
        </w:rPr>
      </w:pPr>
    </w:p>
    <w:p w:rsidR="0038275D" w:rsidRPr="003A0C5E" w:rsidP="0038275D" w14:paraId="0FE665D4" w14:textId="77777777">
      <w:pPr>
        <w:spacing w:line="360" w:lineRule="auto"/>
        <w:jc w:val="right"/>
        <w:rPr>
          <w:rFonts w:ascii="Arial" w:hAnsi="Arial" w:cs="Arial"/>
        </w:rPr>
      </w:pPr>
      <w:r w:rsidRPr="003A0C5E">
        <w:rPr>
          <w:rFonts w:ascii="Arial" w:hAnsi="Arial" w:cs="Arial"/>
        </w:rPr>
        <w:t>PROJETO DE LEI: _____/2026</w:t>
      </w:r>
    </w:p>
    <w:p w:rsidR="0038275D" w:rsidRPr="003A0C5E" w:rsidP="0038275D" w14:paraId="14DD254C" w14:textId="77777777">
      <w:pPr>
        <w:spacing w:line="360" w:lineRule="auto"/>
        <w:jc w:val="both"/>
        <w:rPr>
          <w:rFonts w:ascii="Arial" w:hAnsi="Arial" w:cs="Arial"/>
        </w:rPr>
      </w:pPr>
    </w:p>
    <w:p w:rsidR="0038275D" w:rsidRPr="003A0C5E" w:rsidP="0038275D" w14:paraId="02EC9FB1" w14:textId="77777777">
      <w:pPr>
        <w:spacing w:line="360" w:lineRule="auto"/>
        <w:ind w:left="2124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Institui a Política Municipal de Orientação e Preparação dos Estudantes da Rede Municipal de Ensino para o ingresso nas Escolas Técnicas Estaduais – </w:t>
      </w:r>
      <w:r w:rsidRPr="003A0C5E">
        <w:rPr>
          <w:rFonts w:ascii="Arial" w:hAnsi="Arial" w:cs="Arial"/>
        </w:rPr>
        <w:t>ETECs</w:t>
      </w:r>
      <w:r w:rsidRPr="003A0C5E">
        <w:rPr>
          <w:rFonts w:ascii="Arial" w:hAnsi="Arial" w:cs="Arial"/>
        </w:rPr>
        <w:t xml:space="preserve">, e dá outras providências. </w:t>
      </w:r>
    </w:p>
    <w:p w:rsidR="0038275D" w:rsidRPr="003A0C5E" w:rsidP="0038275D" w14:paraId="4AB6FCED" w14:textId="77777777">
      <w:pPr>
        <w:spacing w:line="360" w:lineRule="auto"/>
        <w:jc w:val="both"/>
        <w:rPr>
          <w:rFonts w:ascii="Arial" w:hAnsi="Arial" w:cs="Arial"/>
        </w:rPr>
      </w:pPr>
    </w:p>
    <w:p w:rsidR="0038275D" w:rsidRPr="003A0C5E" w:rsidP="003A0C5E" w14:paraId="6911EFB5" w14:textId="77777777">
      <w:pPr>
        <w:spacing w:line="360" w:lineRule="auto"/>
        <w:ind w:firstLine="1418"/>
        <w:jc w:val="both"/>
        <w:rPr>
          <w:rFonts w:ascii="Arial" w:hAnsi="Arial" w:cs="Arial"/>
          <w:b/>
          <w:bCs/>
        </w:rPr>
      </w:pPr>
      <w:r w:rsidRPr="003A0C5E">
        <w:rPr>
          <w:rFonts w:ascii="Arial" w:hAnsi="Arial" w:cs="Arial"/>
          <w:b/>
          <w:bCs/>
        </w:rPr>
        <w:t>O PREFEITO DO MUNICÍPIO DE SUMARÉ</w:t>
      </w:r>
    </w:p>
    <w:p w:rsidR="0038275D" w:rsidRPr="003A0C5E" w:rsidP="0038275D" w14:paraId="774BBC30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Faço saber que a Câmara Municipal aprovou e eu sanciono e promulgo a seguinte </w:t>
      </w:r>
      <w:r w:rsidRPr="003A0C5E">
        <w:rPr>
          <w:rFonts w:ascii="Arial" w:hAnsi="Arial" w:cs="Arial"/>
        </w:rPr>
        <w:t>LeI</w:t>
      </w:r>
      <w:r w:rsidRPr="003A0C5E">
        <w:rPr>
          <w:rFonts w:ascii="Arial" w:hAnsi="Arial" w:cs="Arial"/>
        </w:rPr>
        <w:t>:</w:t>
      </w:r>
    </w:p>
    <w:p w:rsidR="0038275D" w:rsidRPr="003A0C5E" w:rsidP="0038275D" w14:paraId="45FBB13E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Art.1º Fica instituída, no Município de Sumaré, a Política Municipal de Orientação e Preparação dos Estudantes da Rede Municipal de Ensino para o ingresso nas Escolas Técnicas Estaduais – </w:t>
      </w:r>
      <w:r w:rsidRPr="003A0C5E">
        <w:rPr>
          <w:rFonts w:ascii="Arial" w:hAnsi="Arial" w:cs="Arial"/>
        </w:rPr>
        <w:t>ETECs</w:t>
      </w:r>
      <w:r w:rsidRPr="003A0C5E">
        <w:rPr>
          <w:rFonts w:ascii="Arial" w:hAnsi="Arial" w:cs="Arial"/>
        </w:rPr>
        <w:t xml:space="preserve">, destinada, prioritariamente, aos estudantes matriculados nos 8º e 9º anos do ensino fundamental. </w:t>
      </w:r>
    </w:p>
    <w:p w:rsidR="0038275D" w:rsidRPr="003A0C5E" w:rsidP="0038275D" w14:paraId="63CB7807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Parágrafo único. A Política instituída por esta Lei terá caráter complementar, gratuito e facultativo, devendo ser desenvolvida sem prejuízo do cumprimento da Base Nacional Comum Curricular, da proposta pedagógica de cada unidade educacional e da carga horária regular dos estudantes. </w:t>
      </w:r>
    </w:p>
    <w:p w:rsidR="0038275D" w:rsidRPr="003A0C5E" w:rsidP="0038275D" w14:paraId="0FC8A2F3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Art. 2º São objetivos da Política Municipal de Orientação e Preparação para as </w:t>
      </w:r>
      <w:r w:rsidRPr="003A0C5E">
        <w:rPr>
          <w:rFonts w:ascii="Arial" w:hAnsi="Arial" w:cs="Arial"/>
        </w:rPr>
        <w:t>ETECs</w:t>
      </w:r>
      <w:r w:rsidRPr="003A0C5E">
        <w:rPr>
          <w:rFonts w:ascii="Arial" w:hAnsi="Arial" w:cs="Arial"/>
        </w:rPr>
        <w:t>: I</w:t>
      </w:r>
    </w:p>
    <w:p w:rsidR="0038275D" w:rsidRPr="003A0C5E" w:rsidP="0038275D" w14:paraId="1F20082A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 – </w:t>
      </w:r>
      <w:r w:rsidRPr="003A0C5E">
        <w:rPr>
          <w:rFonts w:ascii="Arial" w:hAnsi="Arial" w:cs="Arial"/>
        </w:rPr>
        <w:t>ampliar</w:t>
      </w:r>
      <w:r w:rsidRPr="003A0C5E">
        <w:rPr>
          <w:rFonts w:ascii="Arial" w:hAnsi="Arial" w:cs="Arial"/>
        </w:rPr>
        <w:t xml:space="preserve"> o acesso dos estudantes da rede municipal às informações sobre a educação profissional e tecnológica; </w:t>
      </w:r>
    </w:p>
    <w:p w:rsidR="0038275D" w:rsidRPr="003A0C5E" w:rsidP="0038275D" w14:paraId="2AE5FC77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II – </w:t>
      </w:r>
      <w:r w:rsidRPr="003A0C5E">
        <w:rPr>
          <w:rFonts w:ascii="Arial" w:hAnsi="Arial" w:cs="Arial"/>
        </w:rPr>
        <w:t>promover</w:t>
      </w:r>
      <w:r w:rsidRPr="003A0C5E">
        <w:rPr>
          <w:rFonts w:ascii="Arial" w:hAnsi="Arial" w:cs="Arial"/>
        </w:rPr>
        <w:t xml:space="preserve"> a igualdade de oportunidades no acesso às Escolas Técnicas Estaduais; </w:t>
      </w:r>
    </w:p>
    <w:p w:rsidR="0038275D" w:rsidRPr="003A0C5E" w:rsidP="0038275D" w14:paraId="54132677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III – fortalecer as competências e habilidades desenvolvidas nos componentes curriculares do ensino fundamental; </w:t>
      </w:r>
    </w:p>
    <w:p w:rsidR="0038275D" w:rsidRPr="003A0C5E" w:rsidP="0038275D" w14:paraId="7DB776C6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IV – </w:t>
      </w:r>
      <w:r w:rsidRPr="003A0C5E">
        <w:rPr>
          <w:rFonts w:ascii="Arial" w:hAnsi="Arial" w:cs="Arial"/>
        </w:rPr>
        <w:t>reduzir</w:t>
      </w:r>
      <w:r w:rsidRPr="003A0C5E">
        <w:rPr>
          <w:rFonts w:ascii="Arial" w:hAnsi="Arial" w:cs="Arial"/>
        </w:rPr>
        <w:t xml:space="preserve"> desigualdades educacionais, sociais e econômicas que dificultem o acesso dos estudantes ao ensino técnico público; </w:t>
      </w:r>
    </w:p>
    <w:p w:rsidR="0038275D" w:rsidRPr="003A0C5E" w:rsidP="0038275D" w14:paraId="02547814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V – </w:t>
      </w:r>
      <w:r w:rsidRPr="003A0C5E">
        <w:rPr>
          <w:rFonts w:ascii="Arial" w:hAnsi="Arial" w:cs="Arial"/>
        </w:rPr>
        <w:t>incentivar</w:t>
      </w:r>
      <w:r w:rsidRPr="003A0C5E">
        <w:rPr>
          <w:rFonts w:ascii="Arial" w:hAnsi="Arial" w:cs="Arial"/>
        </w:rPr>
        <w:t xml:space="preserve"> a continuidade dos estudos e a construção do projeto de vida dos estudantes; </w:t>
      </w:r>
    </w:p>
    <w:p w:rsidR="0038275D" w:rsidRPr="003A0C5E" w:rsidP="0038275D" w14:paraId="7D8F4B56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VI – </w:t>
      </w:r>
      <w:r w:rsidRPr="003A0C5E">
        <w:rPr>
          <w:rFonts w:ascii="Arial" w:hAnsi="Arial" w:cs="Arial"/>
        </w:rPr>
        <w:t>desenvolver</w:t>
      </w:r>
      <w:r w:rsidRPr="003A0C5E">
        <w:rPr>
          <w:rFonts w:ascii="Arial" w:hAnsi="Arial" w:cs="Arial"/>
        </w:rPr>
        <w:t xml:space="preserve"> a autonomia, a organização dos estudos, o raciocínio lógico, a interpretação de textos e a resolução de problemas; </w:t>
      </w:r>
    </w:p>
    <w:p w:rsidR="0038275D" w:rsidRPr="003A0C5E" w:rsidP="0038275D" w14:paraId="7D4A2BA9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VII – aproximar os estudantes das possibilidades de formação profissional, tecnológica e de inserção qualificada no mundo do trabalho; </w:t>
      </w:r>
    </w:p>
    <w:p w:rsidR="0038275D" w:rsidRPr="003A0C5E" w:rsidP="0038275D" w14:paraId="2179E842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VIII – orientar os estudantes e suas famílias sobre os cursos, unidades, formas de ingresso, cronogramas, documentação e demais etapas dos processos seletivos das </w:t>
      </w:r>
      <w:r w:rsidRPr="003A0C5E">
        <w:rPr>
          <w:rFonts w:ascii="Arial" w:hAnsi="Arial" w:cs="Arial"/>
        </w:rPr>
        <w:t>ETECs</w:t>
      </w:r>
      <w:r w:rsidRPr="003A0C5E">
        <w:rPr>
          <w:rFonts w:ascii="Arial" w:hAnsi="Arial" w:cs="Arial"/>
        </w:rPr>
        <w:t xml:space="preserve">. </w:t>
      </w:r>
    </w:p>
    <w:p w:rsidR="0038275D" w:rsidRPr="003A0C5E" w:rsidP="0038275D" w14:paraId="5CCFFB2D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Art.3º A Política de que trata esta Lei poderá compreender, entre outras, as seguintes ações: </w:t>
      </w:r>
    </w:p>
    <w:p w:rsidR="0038275D" w:rsidRPr="003A0C5E" w:rsidP="0038275D" w14:paraId="31E3C6F7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I – </w:t>
      </w:r>
      <w:r w:rsidRPr="003A0C5E">
        <w:rPr>
          <w:rFonts w:ascii="Arial" w:hAnsi="Arial" w:cs="Arial"/>
        </w:rPr>
        <w:t>oferta</w:t>
      </w:r>
      <w:r w:rsidRPr="003A0C5E">
        <w:rPr>
          <w:rFonts w:ascii="Arial" w:hAnsi="Arial" w:cs="Arial"/>
        </w:rPr>
        <w:t xml:space="preserve"> de atividades de reforço, aprofundamento e revisão de conteúdos de língua portuguesa, matemática, ciências da natureza e ciências humanas; </w:t>
      </w:r>
    </w:p>
    <w:p w:rsidR="0038275D" w:rsidRPr="003A0C5E" w:rsidP="0038275D" w14:paraId="0A54AE80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II – </w:t>
      </w:r>
      <w:r w:rsidRPr="003A0C5E">
        <w:rPr>
          <w:rFonts w:ascii="Arial" w:hAnsi="Arial" w:cs="Arial"/>
        </w:rPr>
        <w:t>disponibilização</w:t>
      </w:r>
      <w:r w:rsidRPr="003A0C5E">
        <w:rPr>
          <w:rFonts w:ascii="Arial" w:hAnsi="Arial" w:cs="Arial"/>
        </w:rPr>
        <w:t xml:space="preserve"> de materiais de estudo, roteiros de aprendizagem, bancos de questões, provas de processos seletivos anteriores e conteúdos digitais gratuitos; </w:t>
      </w:r>
    </w:p>
    <w:p w:rsidR="0038275D" w:rsidRPr="003A0C5E" w:rsidP="0038275D" w14:paraId="6DB723E3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III – realização periódica de simulados, preferencialmente compatíveis com o formato e o nível de complexidade dos processos seletivos das </w:t>
      </w:r>
      <w:r w:rsidRPr="003A0C5E">
        <w:rPr>
          <w:rFonts w:ascii="Arial" w:hAnsi="Arial" w:cs="Arial"/>
        </w:rPr>
        <w:t>ETECs</w:t>
      </w:r>
      <w:r w:rsidRPr="003A0C5E">
        <w:rPr>
          <w:rFonts w:ascii="Arial" w:hAnsi="Arial" w:cs="Arial"/>
        </w:rPr>
        <w:t xml:space="preserve">; </w:t>
      </w:r>
    </w:p>
    <w:p w:rsidR="0038275D" w:rsidRPr="003A0C5E" w:rsidP="0038275D" w14:paraId="25E8AEEE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IV – </w:t>
      </w:r>
      <w:r w:rsidRPr="003A0C5E">
        <w:rPr>
          <w:rFonts w:ascii="Arial" w:hAnsi="Arial" w:cs="Arial"/>
        </w:rPr>
        <w:t>apresentação</w:t>
      </w:r>
      <w:r w:rsidRPr="003A0C5E">
        <w:rPr>
          <w:rFonts w:ascii="Arial" w:hAnsi="Arial" w:cs="Arial"/>
        </w:rPr>
        <w:t xml:space="preserve"> de orientações sobre técnicas de estudo, planejamento, administração do tempo e estratégias de realização de provas; </w:t>
      </w:r>
    </w:p>
    <w:p w:rsidR="0038275D" w:rsidRPr="003A0C5E" w:rsidP="0038275D" w14:paraId="6A8BB6DA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V – </w:t>
      </w:r>
      <w:r w:rsidRPr="003A0C5E">
        <w:rPr>
          <w:rFonts w:ascii="Arial" w:hAnsi="Arial" w:cs="Arial"/>
        </w:rPr>
        <w:t>divulgação</w:t>
      </w:r>
      <w:r w:rsidRPr="003A0C5E">
        <w:rPr>
          <w:rFonts w:ascii="Arial" w:hAnsi="Arial" w:cs="Arial"/>
        </w:rPr>
        <w:t xml:space="preserve"> das unidades das </w:t>
      </w:r>
      <w:r w:rsidRPr="003A0C5E">
        <w:rPr>
          <w:rFonts w:ascii="Arial" w:hAnsi="Arial" w:cs="Arial"/>
        </w:rPr>
        <w:t>ETECs</w:t>
      </w:r>
      <w:r w:rsidRPr="003A0C5E">
        <w:rPr>
          <w:rFonts w:ascii="Arial" w:hAnsi="Arial" w:cs="Arial"/>
        </w:rPr>
        <w:t xml:space="preserve"> existentes no Município e em regiões próximas, bem como dos cursos por elas oferecidos; </w:t>
      </w:r>
    </w:p>
    <w:p w:rsidR="0038275D" w:rsidRPr="003A0C5E" w:rsidP="0038275D" w14:paraId="0CF2B399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VI – </w:t>
      </w:r>
      <w:r w:rsidRPr="003A0C5E">
        <w:rPr>
          <w:rFonts w:ascii="Arial" w:hAnsi="Arial" w:cs="Arial"/>
        </w:rPr>
        <w:t>realização</w:t>
      </w:r>
      <w:r w:rsidRPr="003A0C5E">
        <w:rPr>
          <w:rFonts w:ascii="Arial" w:hAnsi="Arial" w:cs="Arial"/>
        </w:rPr>
        <w:t xml:space="preserve"> de palestras, feiras, oficinas, visitas orientadas e encontros com estudantes, ex-estudantes e profissionais da educação técnica; </w:t>
      </w:r>
    </w:p>
    <w:p w:rsidR="0038275D" w:rsidRPr="003A0C5E" w:rsidP="0038275D" w14:paraId="55E0A55C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VII – auxílio aos estudantes e seus responsáveis quanto aos procedimentos de inscrição, pedidos de redução ou isenção de taxa, quando existentes, e acompanhamento dos respectivos cronogramas; </w:t>
      </w:r>
    </w:p>
    <w:p w:rsidR="0038275D" w:rsidRPr="003A0C5E" w:rsidP="0038275D" w14:paraId="26349DC7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VIII – orientação educacional e profissional, respeitados os interesses, as aptidões e a autonomia de escolha do estudante; </w:t>
      </w:r>
    </w:p>
    <w:p w:rsidR="0038275D" w:rsidRPr="003A0C5E" w:rsidP="0038275D" w14:paraId="4B95AF96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IX – </w:t>
      </w:r>
      <w:r w:rsidRPr="003A0C5E">
        <w:rPr>
          <w:rFonts w:ascii="Arial" w:hAnsi="Arial" w:cs="Arial"/>
        </w:rPr>
        <w:t>identificação</w:t>
      </w:r>
      <w:r w:rsidRPr="003A0C5E">
        <w:rPr>
          <w:rFonts w:ascii="Arial" w:hAnsi="Arial" w:cs="Arial"/>
        </w:rPr>
        <w:t xml:space="preserve"> e acompanhamento pedagógico dos estudantes interessados, especialmente daqueles em situação de vulnerabilidade social; </w:t>
      </w:r>
    </w:p>
    <w:p w:rsidR="0038275D" w:rsidRPr="003A0C5E" w:rsidP="0038275D" w14:paraId="487DF498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X – </w:t>
      </w:r>
      <w:r w:rsidRPr="003A0C5E">
        <w:rPr>
          <w:rFonts w:ascii="Arial" w:hAnsi="Arial" w:cs="Arial"/>
        </w:rPr>
        <w:t>adoção</w:t>
      </w:r>
      <w:r w:rsidRPr="003A0C5E">
        <w:rPr>
          <w:rFonts w:ascii="Arial" w:hAnsi="Arial" w:cs="Arial"/>
        </w:rPr>
        <w:t xml:space="preserve"> de recursos de acessibilidade e atendimento adequado aos estudantes com deficiência, transtornos globais do desenvolvimento, altas habilidades ou superdotação. </w:t>
      </w:r>
    </w:p>
    <w:p w:rsidR="00364393" w:rsidP="0038275D" w14:paraId="63F0BDA7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Art. 4º As atividades previstas nesta Lei poderão ser desenvolvidas: </w:t>
      </w:r>
    </w:p>
    <w:p w:rsidR="0038275D" w:rsidRPr="003A0C5E" w:rsidP="0038275D" w14:paraId="231D42AA" w14:textId="270773C3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I – </w:t>
      </w:r>
      <w:r w:rsidRPr="003A0C5E">
        <w:rPr>
          <w:rFonts w:ascii="Arial" w:hAnsi="Arial" w:cs="Arial"/>
        </w:rPr>
        <w:t>durante</w:t>
      </w:r>
      <w:r w:rsidRPr="003A0C5E">
        <w:rPr>
          <w:rFonts w:ascii="Arial" w:hAnsi="Arial" w:cs="Arial"/>
        </w:rPr>
        <w:t xml:space="preserve"> o período regular de aulas, quando integradas ao planejamento pedagógico e aos componentes curriculares já existentes; </w:t>
      </w:r>
    </w:p>
    <w:p w:rsidR="0038275D" w:rsidRPr="003A0C5E" w:rsidP="0038275D" w14:paraId="34932643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II – </w:t>
      </w:r>
      <w:r w:rsidRPr="003A0C5E">
        <w:rPr>
          <w:rFonts w:ascii="Arial" w:hAnsi="Arial" w:cs="Arial"/>
        </w:rPr>
        <w:t>no</w:t>
      </w:r>
      <w:r w:rsidRPr="003A0C5E">
        <w:rPr>
          <w:rFonts w:ascii="Arial" w:hAnsi="Arial" w:cs="Arial"/>
        </w:rPr>
        <w:t xml:space="preserve"> contraturno escolar; </w:t>
      </w:r>
    </w:p>
    <w:p w:rsidR="0038275D" w:rsidRPr="003A0C5E" w:rsidP="0038275D" w14:paraId="0C2F9C27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III – em atividades complementares, projetos especiais, oficinas, aulas de reforço ou jornadas ampliadas; </w:t>
      </w:r>
    </w:p>
    <w:p w:rsidR="0038275D" w:rsidRPr="003A0C5E" w:rsidP="0038275D" w14:paraId="19864668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IV – </w:t>
      </w:r>
      <w:r w:rsidRPr="003A0C5E">
        <w:rPr>
          <w:rFonts w:ascii="Arial" w:hAnsi="Arial" w:cs="Arial"/>
        </w:rPr>
        <w:t>de</w:t>
      </w:r>
      <w:r w:rsidRPr="003A0C5E">
        <w:rPr>
          <w:rFonts w:ascii="Arial" w:hAnsi="Arial" w:cs="Arial"/>
        </w:rPr>
        <w:t xml:space="preserve"> forma presencial, remota ou híbrida, conforme a disponibilidade da rede municipal de ensino.</w:t>
      </w:r>
    </w:p>
    <w:p w:rsidR="0038275D" w:rsidRPr="003A0C5E" w:rsidP="0038275D" w14:paraId="4F47CD23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 § 1º A aplicação desta Lei deverá respeitar a autonomia pedagógica das unidades educacionais e as atribuições dos profissionais da educação. </w:t>
      </w:r>
    </w:p>
    <w:p w:rsidR="0038275D" w:rsidRPr="003A0C5E" w:rsidP="0038275D" w14:paraId="10958AE3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§ 2º A Política não implicará a criação obrigatória de novo componente curricular nem a alteração da matriz curricular da rede municipal de ensino. </w:t>
      </w:r>
    </w:p>
    <w:p w:rsidR="0038275D" w:rsidRPr="003A0C5E" w:rsidP="0038275D" w14:paraId="53FDF1C4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§ 3º Sempre que possível, as atividades deverão utilizar materiais já disponíveis, ambientes digitais gratuitos, provas públicas anteriores e recursos pedagógicos da própria rede. </w:t>
      </w:r>
    </w:p>
    <w:p w:rsidR="0038275D" w:rsidRPr="003A0C5E" w:rsidP="0038275D" w14:paraId="5030DB19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Art. 5º Os simulados previstos nesta Lei deverão possuir finalidade exclusivamente pedagógica e diagnóstica, destinando-se à identificação de dificuldades de aprendizagem e ao planejamento de ações de recuperação e aprofundamento. </w:t>
      </w:r>
    </w:p>
    <w:p w:rsidR="0038275D" w:rsidRPr="003A0C5E" w:rsidP="0038275D" w14:paraId="7D522153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§ 1º Os resultados dos simulados: </w:t>
      </w:r>
    </w:p>
    <w:p w:rsidR="0038275D" w:rsidRPr="003A0C5E" w:rsidP="0038275D" w14:paraId="52D565C9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I – </w:t>
      </w:r>
      <w:r w:rsidRPr="003A0C5E">
        <w:rPr>
          <w:rFonts w:ascii="Arial" w:hAnsi="Arial" w:cs="Arial"/>
        </w:rPr>
        <w:t>não</w:t>
      </w:r>
      <w:r w:rsidRPr="003A0C5E">
        <w:rPr>
          <w:rFonts w:ascii="Arial" w:hAnsi="Arial" w:cs="Arial"/>
        </w:rPr>
        <w:t xml:space="preserve"> poderão ser utilizados para reprovação, classificação interna, punição ou constrangimento dos estudantes; </w:t>
      </w:r>
    </w:p>
    <w:p w:rsidR="0038275D" w:rsidRPr="003A0C5E" w:rsidP="0038275D" w14:paraId="5FAEBAF1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II – </w:t>
      </w:r>
      <w:r w:rsidRPr="003A0C5E">
        <w:rPr>
          <w:rFonts w:ascii="Arial" w:hAnsi="Arial" w:cs="Arial"/>
        </w:rPr>
        <w:t>deverão</w:t>
      </w:r>
      <w:r w:rsidRPr="003A0C5E">
        <w:rPr>
          <w:rFonts w:ascii="Arial" w:hAnsi="Arial" w:cs="Arial"/>
        </w:rPr>
        <w:t xml:space="preserve"> ser apresentados de maneira individualizada e pedagógica ao estudante; </w:t>
      </w:r>
    </w:p>
    <w:p w:rsidR="0038275D" w:rsidRPr="003A0C5E" w:rsidP="0038275D" w14:paraId="4D46911B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III – poderão subsidiar atividades de recuperação contínua e reforço escolar; </w:t>
      </w:r>
    </w:p>
    <w:p w:rsidR="0038275D" w:rsidRPr="003A0C5E" w:rsidP="0038275D" w14:paraId="2739A5AE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IV – </w:t>
      </w:r>
      <w:r w:rsidRPr="003A0C5E">
        <w:rPr>
          <w:rFonts w:ascii="Arial" w:hAnsi="Arial" w:cs="Arial"/>
        </w:rPr>
        <w:t>deverão</w:t>
      </w:r>
      <w:r w:rsidRPr="003A0C5E">
        <w:rPr>
          <w:rFonts w:ascii="Arial" w:hAnsi="Arial" w:cs="Arial"/>
        </w:rPr>
        <w:t xml:space="preserve"> observar a proteção dos dados pessoais e educacionais dos estudantes. </w:t>
      </w:r>
    </w:p>
    <w:p w:rsidR="0038275D" w:rsidRPr="003A0C5E" w:rsidP="0038275D" w14:paraId="6995DB20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§ 2º A participação nos simulados será facultativa e gratuita. </w:t>
      </w:r>
    </w:p>
    <w:p w:rsidR="0038275D" w:rsidRPr="003A0C5E" w:rsidP="0038275D" w14:paraId="35044F70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Art. 6º As unidades educacionais poderão promover ações de orientação destinadas aos pais ou responsáveis, contendo informações sobre: </w:t>
      </w:r>
    </w:p>
    <w:p w:rsidR="0038275D" w:rsidRPr="003A0C5E" w:rsidP="0038275D" w14:paraId="01685C59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I – características e finalidades da educação profissional e tecnológica; </w:t>
      </w:r>
    </w:p>
    <w:p w:rsidR="0038275D" w:rsidRPr="003A0C5E" w:rsidP="0038275D" w14:paraId="1BAB81F3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II – </w:t>
      </w:r>
      <w:r w:rsidRPr="003A0C5E">
        <w:rPr>
          <w:rFonts w:ascii="Arial" w:hAnsi="Arial" w:cs="Arial"/>
        </w:rPr>
        <w:t>cursos</w:t>
      </w:r>
      <w:r w:rsidRPr="003A0C5E">
        <w:rPr>
          <w:rFonts w:ascii="Arial" w:hAnsi="Arial" w:cs="Arial"/>
        </w:rPr>
        <w:t xml:space="preserve"> técnicos disponíveis; </w:t>
      </w:r>
    </w:p>
    <w:p w:rsidR="00364393" w:rsidP="0038275D" w14:paraId="52983962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III – etapas e datas dos processos seletivos; </w:t>
      </w:r>
    </w:p>
    <w:p w:rsidR="0038275D" w:rsidRPr="003A0C5E" w:rsidP="0038275D" w14:paraId="1DA502ED" w14:textId="25A8AA41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IV – </w:t>
      </w:r>
      <w:r w:rsidRPr="003A0C5E">
        <w:rPr>
          <w:rFonts w:ascii="Arial" w:hAnsi="Arial" w:cs="Arial"/>
        </w:rPr>
        <w:t>procedimentos</w:t>
      </w:r>
      <w:r w:rsidRPr="003A0C5E">
        <w:rPr>
          <w:rFonts w:ascii="Arial" w:hAnsi="Arial" w:cs="Arial"/>
        </w:rPr>
        <w:t xml:space="preserve"> para inscrição; </w:t>
      </w:r>
    </w:p>
    <w:p w:rsidR="0038275D" w:rsidRPr="003A0C5E" w:rsidP="0038275D" w14:paraId="5E6DED30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V – </w:t>
      </w:r>
      <w:r w:rsidRPr="003A0C5E">
        <w:rPr>
          <w:rFonts w:ascii="Arial" w:hAnsi="Arial" w:cs="Arial"/>
        </w:rPr>
        <w:t>benefícios</w:t>
      </w:r>
      <w:r w:rsidRPr="003A0C5E">
        <w:rPr>
          <w:rFonts w:ascii="Arial" w:hAnsi="Arial" w:cs="Arial"/>
        </w:rPr>
        <w:t xml:space="preserve"> da continuidade dos estudos; </w:t>
      </w:r>
    </w:p>
    <w:p w:rsidR="0038275D" w:rsidRPr="003A0C5E" w:rsidP="0038275D" w14:paraId="3A313DA4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VI – </w:t>
      </w:r>
      <w:r w:rsidRPr="003A0C5E">
        <w:rPr>
          <w:rFonts w:ascii="Arial" w:hAnsi="Arial" w:cs="Arial"/>
        </w:rPr>
        <w:t>formas</w:t>
      </w:r>
      <w:r w:rsidRPr="003A0C5E">
        <w:rPr>
          <w:rFonts w:ascii="Arial" w:hAnsi="Arial" w:cs="Arial"/>
        </w:rPr>
        <w:t xml:space="preserve"> de acompanhamento e apoio à rotina de estudos do aluno. </w:t>
      </w:r>
    </w:p>
    <w:p w:rsidR="0038275D" w:rsidRPr="003A0C5E" w:rsidP="0038275D" w14:paraId="0E168DA7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Art. 7º A implementação da Política observará os princípios da equidade e da inclusão, devendo ser priorizado o atendimento: </w:t>
      </w:r>
    </w:p>
    <w:p w:rsidR="0038275D" w:rsidRPr="003A0C5E" w:rsidP="0038275D" w14:paraId="124507AD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I – </w:t>
      </w:r>
      <w:r w:rsidRPr="003A0C5E">
        <w:rPr>
          <w:rFonts w:ascii="Arial" w:hAnsi="Arial" w:cs="Arial"/>
        </w:rPr>
        <w:t>aos</w:t>
      </w:r>
      <w:r w:rsidRPr="003A0C5E">
        <w:rPr>
          <w:rFonts w:ascii="Arial" w:hAnsi="Arial" w:cs="Arial"/>
        </w:rPr>
        <w:t xml:space="preserve"> estudantes em situação de vulnerabilidade social; </w:t>
      </w:r>
    </w:p>
    <w:p w:rsidR="0038275D" w:rsidRPr="003A0C5E" w:rsidP="0038275D" w14:paraId="7D4440AD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II – </w:t>
      </w:r>
      <w:r w:rsidRPr="003A0C5E">
        <w:rPr>
          <w:rFonts w:ascii="Arial" w:hAnsi="Arial" w:cs="Arial"/>
        </w:rPr>
        <w:t>aos</w:t>
      </w:r>
      <w:r w:rsidRPr="003A0C5E">
        <w:rPr>
          <w:rFonts w:ascii="Arial" w:hAnsi="Arial" w:cs="Arial"/>
        </w:rPr>
        <w:t xml:space="preserve"> estudantes inscritos no Cadastro Único para Programas Sociais do Governo Federal – </w:t>
      </w:r>
      <w:r w:rsidRPr="003A0C5E">
        <w:rPr>
          <w:rFonts w:ascii="Arial" w:hAnsi="Arial" w:cs="Arial"/>
        </w:rPr>
        <w:t>CadÚnico</w:t>
      </w:r>
      <w:r w:rsidRPr="003A0C5E">
        <w:rPr>
          <w:rFonts w:ascii="Arial" w:hAnsi="Arial" w:cs="Arial"/>
        </w:rPr>
        <w:t xml:space="preserve">; </w:t>
      </w:r>
    </w:p>
    <w:p w:rsidR="0038275D" w:rsidRPr="003A0C5E" w:rsidP="0038275D" w14:paraId="3E721BF7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III – aos estudantes com histórico de defasagem ou dificuldade de aprendizagem; </w:t>
      </w:r>
    </w:p>
    <w:p w:rsidR="0038275D" w:rsidRPr="003A0C5E" w:rsidP="0038275D" w14:paraId="3AA7BAF5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IV – </w:t>
      </w:r>
      <w:r w:rsidRPr="003A0C5E">
        <w:rPr>
          <w:rFonts w:ascii="Arial" w:hAnsi="Arial" w:cs="Arial"/>
        </w:rPr>
        <w:t>aos</w:t>
      </w:r>
      <w:r w:rsidRPr="003A0C5E">
        <w:rPr>
          <w:rFonts w:ascii="Arial" w:hAnsi="Arial" w:cs="Arial"/>
        </w:rPr>
        <w:t xml:space="preserve"> estudantes com deficiência ou outras necessidades educacionais específicas; </w:t>
      </w:r>
    </w:p>
    <w:p w:rsidR="00364393" w:rsidP="0038275D" w14:paraId="4D5063BF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V – </w:t>
      </w:r>
      <w:r w:rsidRPr="003A0C5E">
        <w:rPr>
          <w:rFonts w:ascii="Arial" w:hAnsi="Arial" w:cs="Arial"/>
        </w:rPr>
        <w:t>aos</w:t>
      </w:r>
      <w:r w:rsidRPr="003A0C5E">
        <w:rPr>
          <w:rFonts w:ascii="Arial" w:hAnsi="Arial" w:cs="Arial"/>
        </w:rPr>
        <w:t xml:space="preserve"> estudantes residentes em regiões com menor acesso a cursos preparatórios e oportunidades educacionais complementares. </w:t>
      </w:r>
    </w:p>
    <w:p w:rsidR="0038275D" w:rsidRPr="003A0C5E" w:rsidP="0038275D" w14:paraId="4FBC15E1" w14:textId="34DE402A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Parágrafo único. A priorização prevista neste artigo não poderá impedir a participação dos demais estudantes interessados. </w:t>
      </w:r>
    </w:p>
    <w:p w:rsidR="0038275D" w:rsidRPr="003A0C5E" w:rsidP="0038275D" w14:paraId="7DA04083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Art. 8º Para a consecução dos objetivos desta Lei, o Poder Público poderá celebrar convênios, termos de cooperação, acordos ou outros instrumentos juridicamente adequados com: </w:t>
      </w:r>
    </w:p>
    <w:p w:rsidR="0038275D" w:rsidRPr="003A0C5E" w:rsidP="0038275D" w14:paraId="07D7D163" w14:textId="4F357DE3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I – </w:t>
      </w:r>
      <w:r w:rsidRPr="003A0C5E">
        <w:rPr>
          <w:rFonts w:ascii="Arial" w:hAnsi="Arial" w:cs="Arial"/>
        </w:rPr>
        <w:t>o</w:t>
      </w:r>
      <w:r w:rsidRPr="003A0C5E">
        <w:rPr>
          <w:rFonts w:ascii="Arial" w:hAnsi="Arial" w:cs="Arial"/>
        </w:rPr>
        <w:t xml:space="preserve"> Governo do Estado de </w:t>
      </w:r>
      <w:r w:rsidR="00364393">
        <w:rPr>
          <w:rFonts w:ascii="Arial" w:hAnsi="Arial" w:cs="Arial"/>
        </w:rPr>
        <w:t>São Paulo</w:t>
      </w:r>
      <w:r w:rsidRPr="003A0C5E">
        <w:rPr>
          <w:rFonts w:ascii="Arial" w:hAnsi="Arial" w:cs="Arial"/>
        </w:rPr>
        <w:t xml:space="preserve">; </w:t>
      </w:r>
    </w:p>
    <w:p w:rsidR="0038275D" w:rsidRPr="003A0C5E" w:rsidP="0038275D" w14:paraId="7D8876BD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II – </w:t>
      </w:r>
      <w:r w:rsidRPr="003A0C5E">
        <w:rPr>
          <w:rFonts w:ascii="Arial" w:hAnsi="Arial" w:cs="Arial"/>
        </w:rPr>
        <w:t>o</w:t>
      </w:r>
      <w:r w:rsidRPr="003A0C5E">
        <w:rPr>
          <w:rFonts w:ascii="Arial" w:hAnsi="Arial" w:cs="Arial"/>
        </w:rPr>
        <w:t xml:space="preserve"> Centro Estadual de Educação Tecnológica Paula Souza – CEETEPS; </w:t>
      </w:r>
    </w:p>
    <w:p w:rsidR="0038275D" w:rsidRPr="003A0C5E" w:rsidP="0038275D" w14:paraId="77401E34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III – instituições públicas de ensino; </w:t>
      </w:r>
    </w:p>
    <w:p w:rsidR="0038275D" w:rsidRPr="003A0C5E" w:rsidP="0038275D" w14:paraId="71D3A04E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IV – universidades e institutos de educação profissional e tecnológica; </w:t>
      </w:r>
    </w:p>
    <w:p w:rsidR="0038275D" w:rsidRPr="003A0C5E" w:rsidP="0038275D" w14:paraId="5EB9D46F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V – </w:t>
      </w:r>
      <w:r w:rsidRPr="003A0C5E">
        <w:rPr>
          <w:rFonts w:ascii="Arial" w:hAnsi="Arial" w:cs="Arial"/>
        </w:rPr>
        <w:t>organizações</w:t>
      </w:r>
      <w:r w:rsidRPr="003A0C5E">
        <w:rPr>
          <w:rFonts w:ascii="Arial" w:hAnsi="Arial" w:cs="Arial"/>
        </w:rPr>
        <w:t xml:space="preserve"> da sociedade civil; </w:t>
      </w:r>
    </w:p>
    <w:p w:rsidR="0038275D" w:rsidRPr="003A0C5E" w:rsidP="0038275D" w14:paraId="1A178928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VI – entidades, fundações e demais instituições que desenvolvam atividades educacionais sem fins lucrativos. </w:t>
      </w:r>
    </w:p>
    <w:p w:rsidR="0038275D" w:rsidRPr="003A0C5E" w:rsidP="0038275D" w14:paraId="13F58D6A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Parágrafo único. As parcerias deverão observar a legislação aplicável, a gratuidade das atividades aos estudantes, a proteção integral de crianças e adolescentes e a vedação de qualquer forma de publicidade comercial ou promoção político-partidária no ambiente escolar. </w:t>
      </w:r>
    </w:p>
    <w:p w:rsidR="0038275D" w:rsidRPr="003A0C5E" w:rsidP="0038275D" w14:paraId="4E3ED2BB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Art. 9º O Poder Público poderá disponibilizar, em meio físico ou digital, guia de orientação aos estudantes, contendo, no mínimo: </w:t>
      </w:r>
    </w:p>
    <w:p w:rsidR="0038275D" w:rsidRPr="003A0C5E" w:rsidP="0038275D" w14:paraId="5B2724C0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I – </w:t>
      </w:r>
      <w:r w:rsidRPr="003A0C5E">
        <w:rPr>
          <w:rFonts w:ascii="Arial" w:hAnsi="Arial" w:cs="Arial"/>
        </w:rPr>
        <w:t>informações</w:t>
      </w:r>
      <w:r w:rsidRPr="003A0C5E">
        <w:rPr>
          <w:rFonts w:ascii="Arial" w:hAnsi="Arial" w:cs="Arial"/>
        </w:rPr>
        <w:t xml:space="preserve"> gerais sobre as </w:t>
      </w:r>
      <w:r w:rsidRPr="003A0C5E">
        <w:rPr>
          <w:rFonts w:ascii="Arial" w:hAnsi="Arial" w:cs="Arial"/>
        </w:rPr>
        <w:t>ETECs</w:t>
      </w:r>
      <w:r w:rsidRPr="003A0C5E">
        <w:rPr>
          <w:rFonts w:ascii="Arial" w:hAnsi="Arial" w:cs="Arial"/>
        </w:rPr>
        <w:t xml:space="preserve">; </w:t>
      </w:r>
    </w:p>
    <w:p w:rsidR="0038275D" w:rsidRPr="003A0C5E" w:rsidP="0038275D" w14:paraId="07B9CB45" w14:textId="323730B6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II – </w:t>
      </w:r>
      <w:r w:rsidRPr="003A0C5E">
        <w:rPr>
          <w:rFonts w:ascii="Arial" w:hAnsi="Arial" w:cs="Arial"/>
        </w:rPr>
        <w:t>relação</w:t>
      </w:r>
      <w:r w:rsidRPr="003A0C5E">
        <w:rPr>
          <w:rFonts w:ascii="Arial" w:hAnsi="Arial" w:cs="Arial"/>
        </w:rPr>
        <w:t xml:space="preserve"> das unidades localizadas no Município de </w:t>
      </w:r>
      <w:r w:rsidR="00364393">
        <w:rPr>
          <w:rFonts w:ascii="Arial" w:hAnsi="Arial" w:cs="Arial"/>
        </w:rPr>
        <w:t>Sumaré e na Região Metropolitana de Campinas</w:t>
      </w:r>
      <w:r w:rsidRPr="003A0C5E">
        <w:rPr>
          <w:rFonts w:ascii="Arial" w:hAnsi="Arial" w:cs="Arial"/>
        </w:rPr>
        <w:t xml:space="preserve">; </w:t>
      </w:r>
    </w:p>
    <w:p w:rsidR="0038275D" w:rsidRPr="003A0C5E" w:rsidP="0038275D" w14:paraId="7DB7D0A8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>III – cursos oferecidos e respectivos perfis profissionais;</w:t>
      </w:r>
    </w:p>
    <w:p w:rsidR="0038275D" w:rsidRPr="003A0C5E" w:rsidP="0038275D" w14:paraId="0FCCBEE3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 IV – </w:t>
      </w:r>
      <w:r w:rsidRPr="003A0C5E">
        <w:rPr>
          <w:rFonts w:ascii="Arial" w:hAnsi="Arial" w:cs="Arial"/>
        </w:rPr>
        <w:t>etapas</w:t>
      </w:r>
      <w:r w:rsidRPr="003A0C5E">
        <w:rPr>
          <w:rFonts w:ascii="Arial" w:hAnsi="Arial" w:cs="Arial"/>
        </w:rPr>
        <w:t xml:space="preserve"> do processo seletivo; </w:t>
      </w:r>
    </w:p>
    <w:p w:rsidR="0038275D" w:rsidRPr="003A0C5E" w:rsidP="0038275D" w14:paraId="3CC3B5B3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V – </w:t>
      </w:r>
      <w:r w:rsidRPr="003A0C5E">
        <w:rPr>
          <w:rFonts w:ascii="Arial" w:hAnsi="Arial" w:cs="Arial"/>
        </w:rPr>
        <w:t>orientações</w:t>
      </w:r>
      <w:r w:rsidRPr="003A0C5E">
        <w:rPr>
          <w:rFonts w:ascii="Arial" w:hAnsi="Arial" w:cs="Arial"/>
        </w:rPr>
        <w:t xml:space="preserve"> para inscrição;</w:t>
      </w:r>
    </w:p>
    <w:p w:rsidR="0038275D" w:rsidRPr="003A0C5E" w:rsidP="0038275D" w14:paraId="3B1E6673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 VI – </w:t>
      </w:r>
      <w:r w:rsidRPr="003A0C5E">
        <w:rPr>
          <w:rFonts w:ascii="Arial" w:hAnsi="Arial" w:cs="Arial"/>
        </w:rPr>
        <w:t>materiais</w:t>
      </w:r>
      <w:r w:rsidRPr="003A0C5E">
        <w:rPr>
          <w:rFonts w:ascii="Arial" w:hAnsi="Arial" w:cs="Arial"/>
        </w:rPr>
        <w:t xml:space="preserve"> gratuitos de estudo; </w:t>
      </w:r>
    </w:p>
    <w:p w:rsidR="0038275D" w:rsidRPr="003A0C5E" w:rsidP="0038275D" w14:paraId="184D1C20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VII – calendário atualizado dos processos seletivos, quando disponível. </w:t>
      </w:r>
    </w:p>
    <w:p w:rsidR="0038275D" w:rsidRPr="003A0C5E" w:rsidP="0038275D" w14:paraId="613CC300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Art. 10. A execução desta Lei deverá observar a Lei Federal nº 13.709, de 14 de agosto de 2018 – Lei Geral de Proteção de Dados Pessoais, especialmente quanto ao tratamento de dados de crianças e adolescentes. </w:t>
      </w:r>
    </w:p>
    <w:p w:rsidR="0038275D" w:rsidRPr="003A0C5E" w:rsidP="0038275D" w14:paraId="7311CCDC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Art. 11. O Poder Executivo poderá regulamentar esta Lei, no que couber, estabelecendo os critérios, as etapas e os procedimentos necessários à sua execução. </w:t>
      </w:r>
    </w:p>
    <w:p w:rsidR="0038275D" w:rsidRPr="003A0C5E" w:rsidP="0038275D" w14:paraId="0CED096A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Art. 12. As despesas decorrentes da execução desta Lei correrão por conta das dotações orçamentárias próprias, suplementadas se necessário. </w:t>
      </w:r>
    </w:p>
    <w:p w:rsidR="0038275D" w:rsidRPr="003A0C5E" w:rsidP="0038275D" w14:paraId="7C8ED3C9" w14:textId="77777777">
      <w:pPr>
        <w:spacing w:line="360" w:lineRule="auto"/>
        <w:ind w:firstLine="1418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>Art. 13. Esta Lei entra em vigor na data de sua publicação.</w:t>
      </w:r>
    </w:p>
    <w:p w:rsidR="003A0C5E" w:rsidRPr="003A0C5E" w:rsidP="003A0C5E" w14:paraId="314ECBCC" w14:textId="2479A595">
      <w:pPr>
        <w:jc w:val="center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Sala das Sessões, </w:t>
      </w:r>
      <w:r w:rsidR="00364393">
        <w:rPr>
          <w:rFonts w:ascii="Arial" w:hAnsi="Arial" w:cs="Arial"/>
        </w:rPr>
        <w:t>0</w:t>
      </w:r>
      <w:r w:rsidR="001359BE">
        <w:rPr>
          <w:rFonts w:ascii="Arial" w:hAnsi="Arial" w:cs="Arial"/>
        </w:rPr>
        <w:t>9</w:t>
      </w:r>
      <w:r w:rsidRPr="003A0C5E">
        <w:rPr>
          <w:rFonts w:ascii="Arial" w:hAnsi="Arial" w:cs="Arial"/>
        </w:rPr>
        <w:t xml:space="preserve"> de </w:t>
      </w:r>
      <w:r w:rsidR="00364393">
        <w:rPr>
          <w:rFonts w:ascii="Arial" w:hAnsi="Arial" w:cs="Arial"/>
        </w:rPr>
        <w:t>Setembro</w:t>
      </w:r>
      <w:r w:rsidRPr="003A0C5E">
        <w:rPr>
          <w:rFonts w:ascii="Arial" w:hAnsi="Arial" w:cs="Arial"/>
        </w:rPr>
        <w:t xml:space="preserve"> de 2026.</w:t>
      </w:r>
    </w:p>
    <w:p w:rsidR="003A0C5E" w:rsidRPr="003A0C5E" w:rsidP="003A0C5E" w14:paraId="36ED1C43" w14:textId="77777777">
      <w:pPr>
        <w:jc w:val="center"/>
        <w:rPr>
          <w:rFonts w:ascii="Arial" w:eastAsia="Times New Roman" w:hAnsi="Arial" w:cs="Arial"/>
          <w:b/>
          <w:bCs/>
        </w:rPr>
      </w:pPr>
      <w:r w:rsidRPr="003A0C5E">
        <w:rPr>
          <w:rFonts w:ascii="Arial" w:hAnsi="Arial" w:cs="Arial"/>
          <w:bCs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1712595</wp:posOffset>
            </wp:positionH>
            <wp:positionV relativeFrom="paragraph">
              <wp:posOffset>128270</wp:posOffset>
            </wp:positionV>
            <wp:extent cx="2334895" cy="737656"/>
            <wp:effectExtent l="0" t="0" r="0" b="0"/>
            <wp:wrapNone/>
            <wp:docPr id="439986702" name="Imagem 439986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6684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7376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0C5E" w:rsidRPr="003A0C5E" w:rsidP="003A0C5E" w14:paraId="4162174C" w14:textId="77777777">
      <w:pPr>
        <w:spacing w:after="0"/>
        <w:jc w:val="center"/>
        <w:rPr>
          <w:rFonts w:ascii="Arial" w:hAnsi="Arial" w:cs="Arial"/>
          <w:b/>
        </w:rPr>
      </w:pPr>
    </w:p>
    <w:p w:rsidR="001359BE" w:rsidP="003A0C5E" w14:paraId="3C48A9C9" w14:textId="77777777">
      <w:pPr>
        <w:spacing w:after="0"/>
        <w:jc w:val="center"/>
        <w:rPr>
          <w:rFonts w:ascii="Arial" w:hAnsi="Arial" w:cs="Arial"/>
          <w:b/>
        </w:rPr>
      </w:pPr>
    </w:p>
    <w:p w:rsidR="003A0C5E" w:rsidRPr="003A0C5E" w:rsidP="003A0C5E" w14:paraId="6B249A18" w14:textId="69D21A52">
      <w:pPr>
        <w:spacing w:after="0"/>
        <w:jc w:val="center"/>
        <w:rPr>
          <w:rFonts w:ascii="Arial" w:hAnsi="Arial" w:cs="Arial"/>
          <w:b/>
        </w:rPr>
      </w:pPr>
      <w:r w:rsidRPr="003A0C5E">
        <w:rPr>
          <w:rFonts w:ascii="Arial" w:hAnsi="Arial" w:cs="Arial"/>
          <w:b/>
        </w:rPr>
        <w:t>SEBASTIAO ALVES CORREA</w:t>
      </w:r>
    </w:p>
    <w:p w:rsidR="003A0C5E" w:rsidRPr="003A0C5E" w:rsidP="003A0C5E" w14:paraId="7638829A" w14:textId="77777777">
      <w:pPr>
        <w:spacing w:after="0"/>
        <w:jc w:val="center"/>
        <w:rPr>
          <w:rFonts w:ascii="Arial" w:hAnsi="Arial" w:cs="Arial"/>
          <w:bCs/>
        </w:rPr>
      </w:pPr>
      <w:r w:rsidRPr="003A0C5E">
        <w:rPr>
          <w:rFonts w:ascii="Arial" w:hAnsi="Arial" w:cs="Arial"/>
          <w:bCs/>
        </w:rPr>
        <w:t>TIÃO CORREA – Vereador (PSDB)</w:t>
      </w:r>
    </w:p>
    <w:p w:rsidR="003A0C5E" w:rsidP="003A0C5E" w14:paraId="70F73FC2" w14:textId="77777777">
      <w:pPr>
        <w:spacing w:after="0"/>
        <w:ind w:firstLine="1418"/>
        <w:jc w:val="both"/>
        <w:rPr>
          <w:rFonts w:ascii="Arial" w:hAnsi="Arial" w:cs="Arial"/>
        </w:rPr>
      </w:pPr>
    </w:p>
    <w:p w:rsidR="003A0C5E" w:rsidP="003A0C5E" w14:paraId="38D488E0" w14:textId="77777777">
      <w:pPr>
        <w:spacing w:after="0"/>
        <w:ind w:firstLine="1418"/>
        <w:jc w:val="both"/>
        <w:rPr>
          <w:rFonts w:ascii="Arial" w:hAnsi="Arial" w:cs="Arial"/>
        </w:rPr>
      </w:pPr>
    </w:p>
    <w:p w:rsidR="003A0C5E" w:rsidP="003A0C5E" w14:paraId="5A5D81B7" w14:textId="77777777">
      <w:pPr>
        <w:spacing w:after="0"/>
        <w:ind w:firstLine="1418"/>
        <w:jc w:val="both"/>
        <w:rPr>
          <w:rFonts w:ascii="Arial" w:hAnsi="Arial" w:cs="Arial"/>
        </w:rPr>
      </w:pPr>
    </w:p>
    <w:p w:rsidR="003A0C5E" w:rsidP="003A0C5E" w14:paraId="32240028" w14:textId="77777777">
      <w:pPr>
        <w:spacing w:after="0"/>
        <w:ind w:firstLine="1418"/>
        <w:jc w:val="both"/>
        <w:rPr>
          <w:rFonts w:ascii="Arial" w:hAnsi="Arial" w:cs="Arial"/>
        </w:rPr>
      </w:pPr>
    </w:p>
    <w:p w:rsidR="003A0C5E" w:rsidP="003A0C5E" w14:paraId="2AAFDB14" w14:textId="77777777">
      <w:pPr>
        <w:spacing w:after="0"/>
        <w:ind w:firstLine="1418"/>
        <w:jc w:val="both"/>
        <w:rPr>
          <w:rFonts w:ascii="Arial" w:hAnsi="Arial" w:cs="Arial"/>
        </w:rPr>
      </w:pPr>
    </w:p>
    <w:p w:rsidR="003A0C5E" w:rsidP="003A0C5E" w14:paraId="075A8A87" w14:textId="77777777">
      <w:pPr>
        <w:spacing w:after="0"/>
        <w:ind w:firstLine="1418"/>
        <w:jc w:val="both"/>
        <w:rPr>
          <w:rFonts w:ascii="Arial" w:hAnsi="Arial" w:cs="Arial"/>
        </w:rPr>
      </w:pPr>
    </w:p>
    <w:p w:rsidR="003A0C5E" w:rsidP="003A0C5E" w14:paraId="6E692438" w14:textId="77777777">
      <w:pPr>
        <w:spacing w:after="0"/>
        <w:ind w:firstLine="1418"/>
        <w:jc w:val="both"/>
        <w:rPr>
          <w:rFonts w:ascii="Arial" w:hAnsi="Arial" w:cs="Arial"/>
        </w:rPr>
      </w:pPr>
    </w:p>
    <w:p w:rsidR="003A0C5E" w:rsidP="003A0C5E" w14:paraId="4659F8A6" w14:textId="77777777">
      <w:pPr>
        <w:spacing w:after="0"/>
        <w:ind w:firstLine="1418"/>
        <w:jc w:val="both"/>
        <w:rPr>
          <w:rFonts w:ascii="Arial" w:hAnsi="Arial" w:cs="Arial"/>
        </w:rPr>
      </w:pPr>
    </w:p>
    <w:p w:rsidR="003A0C5E" w:rsidP="003A0C5E" w14:paraId="43B9B49F" w14:textId="77777777">
      <w:pPr>
        <w:spacing w:after="0"/>
        <w:ind w:firstLine="1418"/>
        <w:jc w:val="both"/>
        <w:rPr>
          <w:rFonts w:ascii="Arial" w:hAnsi="Arial" w:cs="Arial"/>
        </w:rPr>
      </w:pPr>
    </w:p>
    <w:p w:rsidR="003A0C5E" w:rsidP="003A0C5E" w14:paraId="79B20B51" w14:textId="77777777">
      <w:pPr>
        <w:spacing w:after="0"/>
        <w:ind w:firstLine="1418"/>
        <w:jc w:val="both"/>
        <w:rPr>
          <w:rFonts w:ascii="Arial" w:hAnsi="Arial" w:cs="Arial"/>
        </w:rPr>
      </w:pPr>
    </w:p>
    <w:p w:rsidR="003A0C5E" w:rsidP="003A0C5E" w14:paraId="5F8B0D07" w14:textId="77777777">
      <w:pPr>
        <w:spacing w:after="0"/>
        <w:ind w:firstLine="1418"/>
        <w:jc w:val="both"/>
        <w:rPr>
          <w:rFonts w:ascii="Arial" w:hAnsi="Arial" w:cs="Arial"/>
        </w:rPr>
      </w:pPr>
    </w:p>
    <w:p w:rsidR="003A0C5E" w:rsidP="003A0C5E" w14:paraId="621D4139" w14:textId="77777777">
      <w:pPr>
        <w:spacing w:after="0"/>
        <w:ind w:firstLine="1418"/>
        <w:jc w:val="both"/>
        <w:rPr>
          <w:rFonts w:ascii="Arial" w:hAnsi="Arial" w:cs="Arial"/>
        </w:rPr>
      </w:pPr>
    </w:p>
    <w:p w:rsidR="003A0C5E" w:rsidP="003A0C5E" w14:paraId="44C1AF56" w14:textId="77777777">
      <w:pPr>
        <w:spacing w:after="0"/>
        <w:ind w:firstLine="1418"/>
        <w:jc w:val="both"/>
        <w:rPr>
          <w:rFonts w:ascii="Arial" w:hAnsi="Arial" w:cs="Arial"/>
        </w:rPr>
      </w:pPr>
    </w:p>
    <w:p w:rsidR="003A0C5E" w:rsidP="003A0C5E" w14:paraId="4EB79E94" w14:textId="77777777">
      <w:pPr>
        <w:spacing w:after="0"/>
        <w:ind w:firstLine="1418"/>
        <w:jc w:val="both"/>
        <w:rPr>
          <w:rFonts w:ascii="Arial" w:hAnsi="Arial" w:cs="Arial"/>
        </w:rPr>
      </w:pPr>
    </w:p>
    <w:p w:rsidR="003A0C5E" w:rsidP="003A0C5E" w14:paraId="6B95CF83" w14:textId="77777777">
      <w:pPr>
        <w:spacing w:after="0"/>
        <w:ind w:firstLine="1418"/>
        <w:jc w:val="both"/>
        <w:rPr>
          <w:rFonts w:ascii="Arial" w:hAnsi="Arial" w:cs="Arial"/>
        </w:rPr>
      </w:pPr>
    </w:p>
    <w:p w:rsidR="003A0C5E" w:rsidP="003A0C5E" w14:paraId="4C84795C" w14:textId="77777777">
      <w:pPr>
        <w:spacing w:after="0"/>
        <w:ind w:firstLine="1418"/>
        <w:jc w:val="both"/>
        <w:rPr>
          <w:rFonts w:ascii="Arial" w:hAnsi="Arial" w:cs="Arial"/>
        </w:rPr>
      </w:pPr>
    </w:p>
    <w:p w:rsidR="003A0C5E" w:rsidP="003A0C5E" w14:paraId="13A0EDBC" w14:textId="77777777">
      <w:pPr>
        <w:spacing w:after="0"/>
        <w:ind w:firstLine="1418"/>
        <w:jc w:val="both"/>
        <w:rPr>
          <w:rFonts w:ascii="Arial" w:hAnsi="Arial" w:cs="Arial"/>
        </w:rPr>
      </w:pPr>
    </w:p>
    <w:p w:rsidR="003A0C5E" w:rsidP="003A0C5E" w14:paraId="168A48EE" w14:textId="77777777">
      <w:pPr>
        <w:spacing w:after="0"/>
        <w:ind w:firstLine="1418"/>
        <w:jc w:val="both"/>
        <w:rPr>
          <w:rFonts w:ascii="Arial" w:hAnsi="Arial" w:cs="Arial"/>
        </w:rPr>
      </w:pPr>
    </w:p>
    <w:p w:rsidR="003A0C5E" w:rsidP="003A0C5E" w14:paraId="2DF17B57" w14:textId="77777777">
      <w:pPr>
        <w:spacing w:after="0"/>
        <w:ind w:firstLine="1418"/>
        <w:jc w:val="both"/>
        <w:rPr>
          <w:rFonts w:ascii="Arial" w:hAnsi="Arial" w:cs="Arial"/>
        </w:rPr>
      </w:pPr>
    </w:p>
    <w:p w:rsidR="003A0C5E" w:rsidP="003A0C5E" w14:paraId="68894923" w14:textId="77777777">
      <w:pPr>
        <w:spacing w:after="0"/>
        <w:ind w:firstLine="1418"/>
        <w:jc w:val="both"/>
        <w:rPr>
          <w:rFonts w:ascii="Arial" w:hAnsi="Arial" w:cs="Arial"/>
        </w:rPr>
      </w:pPr>
    </w:p>
    <w:p w:rsidR="003A0C5E" w:rsidP="003A0C5E" w14:paraId="0B85E21E" w14:textId="77777777">
      <w:pPr>
        <w:spacing w:after="0"/>
        <w:ind w:firstLine="1418"/>
        <w:jc w:val="both"/>
        <w:rPr>
          <w:rFonts w:ascii="Arial" w:hAnsi="Arial" w:cs="Arial"/>
        </w:rPr>
      </w:pPr>
    </w:p>
    <w:p w:rsidR="003A0C5E" w:rsidP="003A0C5E" w14:paraId="0F60E59F" w14:textId="77777777">
      <w:pPr>
        <w:spacing w:after="0"/>
        <w:ind w:firstLine="1418"/>
        <w:jc w:val="both"/>
        <w:rPr>
          <w:rFonts w:ascii="Arial" w:hAnsi="Arial" w:cs="Arial"/>
        </w:rPr>
      </w:pPr>
    </w:p>
    <w:p w:rsidR="003A0C5E" w:rsidRPr="003A0C5E" w:rsidP="0038275D" w14:paraId="25733732" w14:textId="464F66B0">
      <w:pPr>
        <w:spacing w:line="360" w:lineRule="auto"/>
        <w:jc w:val="center"/>
        <w:rPr>
          <w:rFonts w:ascii="Arial" w:hAnsi="Arial" w:cs="Arial"/>
          <w:b/>
          <w:bCs/>
        </w:rPr>
      </w:pPr>
      <w:r w:rsidRPr="003A0C5E">
        <w:rPr>
          <w:rFonts w:ascii="Arial" w:hAnsi="Arial" w:cs="Arial"/>
          <w:b/>
          <w:bCs/>
        </w:rPr>
        <w:t>JUSTIFICATIVA</w:t>
      </w:r>
    </w:p>
    <w:p w:rsidR="00364393" w:rsidP="0038275D" w14:paraId="4E9246D4" w14:textId="77777777">
      <w:pPr>
        <w:spacing w:line="360" w:lineRule="auto"/>
        <w:ind w:firstLine="1985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O presente Projeto de Lei tem por finalidade instituir, no Município de Sumaré, uma política pública de orientação e preparação dos estudantes da rede municipal de ensino, especialmente daqueles matriculados nos 8º e 9º anos do ensino fundamental, para os processos seletivos de ingresso nas Escolas Técnicas Estaduais – </w:t>
      </w:r>
      <w:r w:rsidRPr="003A0C5E">
        <w:rPr>
          <w:rFonts w:ascii="Arial" w:hAnsi="Arial" w:cs="Arial"/>
        </w:rPr>
        <w:t>ETECs</w:t>
      </w:r>
      <w:r w:rsidRPr="003A0C5E">
        <w:rPr>
          <w:rFonts w:ascii="Arial" w:hAnsi="Arial" w:cs="Arial"/>
        </w:rPr>
        <w:t xml:space="preserve">. </w:t>
      </w:r>
    </w:p>
    <w:p w:rsidR="0038275D" w:rsidRPr="003A0C5E" w:rsidP="0038275D" w14:paraId="4D831618" w14:textId="12652D94">
      <w:pPr>
        <w:spacing w:line="360" w:lineRule="auto"/>
        <w:ind w:firstLine="1985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As </w:t>
      </w:r>
      <w:r w:rsidRPr="003A0C5E">
        <w:rPr>
          <w:rFonts w:ascii="Arial" w:hAnsi="Arial" w:cs="Arial"/>
        </w:rPr>
        <w:t>ETECs</w:t>
      </w:r>
      <w:r w:rsidRPr="003A0C5E">
        <w:rPr>
          <w:rFonts w:ascii="Arial" w:hAnsi="Arial" w:cs="Arial"/>
        </w:rPr>
        <w:t xml:space="preserve"> representam uma importante oportunidade de acesso ao ensino médio articulado à educação profissional e à formação técnica. </w:t>
      </w:r>
    </w:p>
    <w:p w:rsidR="0038275D" w:rsidRPr="003A0C5E" w:rsidP="0038275D" w14:paraId="38F37D99" w14:textId="77777777">
      <w:pPr>
        <w:spacing w:line="360" w:lineRule="auto"/>
        <w:ind w:firstLine="1985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Entretanto, muitos estudantes da rede pública municipal desconhecem os cursos existentes, as unidades disponíveis, os procedimentos de inscrição e as características das provas, além de não possuírem condições financeiras para frequentar cursos preparatórios particulares. </w:t>
      </w:r>
    </w:p>
    <w:p w:rsidR="0038275D" w:rsidRPr="003A0C5E" w:rsidP="0038275D" w14:paraId="7026191E" w14:textId="77777777">
      <w:pPr>
        <w:spacing w:line="360" w:lineRule="auto"/>
        <w:ind w:firstLine="1985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Essa desigualdade informacional e econômica pode limitar as possibilidades de ingresso dos estudantes de baixa renda, ainda que possuam capacidade, interesse e bom desempenho escolar. A proposta busca enfrentar essa realidade mediante atividades gratuitas de orientação, revisão, aprofundamento, resolução de questões, realização de simulados e divulgação das oportunidades oferecidas pela educação técnica pública. </w:t>
      </w:r>
    </w:p>
    <w:p w:rsidR="0038275D" w:rsidRPr="003A0C5E" w:rsidP="0038275D" w14:paraId="009E7921" w14:textId="77777777">
      <w:pPr>
        <w:spacing w:line="360" w:lineRule="auto"/>
        <w:ind w:firstLine="1985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A Constituição Federal estabelece, em seu art. 205, que a educação é direito de todos e dever do Estado e da família, devendo visar ao pleno desenvolvimento da pessoa, ao preparo para o exercício da cidadania e à sua qualificação para o trabalho. </w:t>
      </w:r>
    </w:p>
    <w:p w:rsidR="00543E68" w:rsidP="0038275D" w14:paraId="0D9A8D07" w14:textId="77777777">
      <w:pPr>
        <w:spacing w:line="360" w:lineRule="auto"/>
        <w:ind w:firstLine="1985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O art. 206 assegura a igualdade de condições para acesso e permanência na escola e a garantia de padrão de qualidade. </w:t>
      </w:r>
    </w:p>
    <w:p w:rsidR="0038275D" w:rsidRPr="003A0C5E" w:rsidP="0038275D" w14:paraId="5A99A9C0" w14:textId="6D9BD07F">
      <w:pPr>
        <w:spacing w:line="360" w:lineRule="auto"/>
        <w:ind w:firstLine="1985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Já o art. 30, incisos I, II e VI, atribui aos Municípios competência para legislar sobre assuntos de interesse local, suplementar a legislação federal e estadual e manter programas de educação infantil e de ensino fundamental, com a cooperação técnica e financeira dos demais entes federativos. </w:t>
      </w:r>
    </w:p>
    <w:p w:rsidR="003A0C5E" w:rsidP="0038275D" w14:paraId="72311178" w14:textId="77777777">
      <w:pPr>
        <w:spacing w:line="360" w:lineRule="auto"/>
        <w:ind w:firstLine="1985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A matéria também encontra fundamento na Lei Federal nº 9.394, de 20 de dezembro de 1996 – Lei de Diretrizes e Bases da Educação Nacional. </w:t>
      </w:r>
    </w:p>
    <w:p w:rsidR="003A0C5E" w:rsidP="0038275D" w14:paraId="1F15739E" w14:textId="77777777">
      <w:pPr>
        <w:spacing w:line="360" w:lineRule="auto"/>
        <w:ind w:firstLine="1985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O art. 11 da LDB estabelece que compete aos Municípios organizar, manter e desenvolver os órgãos e instituições oficiais de seus sistemas de ensino, bem como baixar normas complementares. </w:t>
      </w:r>
    </w:p>
    <w:p w:rsidR="0038275D" w:rsidRPr="003A0C5E" w:rsidP="0038275D" w14:paraId="5411FE85" w14:textId="5F78244C">
      <w:pPr>
        <w:spacing w:line="360" w:lineRule="auto"/>
        <w:ind w:firstLine="1985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O art. 12 reconhece a responsabilidade das escolas pela execução de suas propostas pedagógicas e pelo oferecimento de meios de recuperação aos estudantes de menor rendimento. </w:t>
      </w:r>
    </w:p>
    <w:p w:rsidR="0038275D" w:rsidRPr="003A0C5E" w:rsidP="0038275D" w14:paraId="515E1C77" w14:textId="77777777">
      <w:pPr>
        <w:spacing w:line="360" w:lineRule="auto"/>
        <w:ind w:firstLine="1985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O art. 26, por sua vez, permite que a base nacional comum seja complementada por uma parte diversificada, consideradas as características locais e as necessidades dos educandos. </w:t>
      </w:r>
    </w:p>
    <w:p w:rsidR="0038275D" w:rsidRPr="003A0C5E" w:rsidP="0038275D" w14:paraId="2276ED81" w14:textId="77777777">
      <w:pPr>
        <w:spacing w:line="360" w:lineRule="auto"/>
        <w:ind w:firstLine="1985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A proposição está igualmente alinhada ao novo Plano Nacional de Educação, aprovado pela Lei Federal nº 15.388, de 14 de abril de 2026, que adota como diretrizes a qualidade, a equidade, a inclusão, a aprendizagem, a articulação entre família e escola, a redução das desigualdades educacionais e a utilização de evidências no planejamento das políticas públicas. </w:t>
      </w:r>
    </w:p>
    <w:p w:rsidR="0038275D" w:rsidRPr="003A0C5E" w:rsidP="0038275D" w14:paraId="47823366" w14:textId="77777777">
      <w:pPr>
        <w:spacing w:line="360" w:lineRule="auto"/>
        <w:ind w:firstLine="1985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A redação proposta preserva a competência administrativa e pedagógica do Poder Executivo, pois não cria cargos, órgãos ou novas atribuições individualizadas para secretarias e servidores. Também não impõe a criação de disciplina específica nem altera obrigatoriamente a matriz curricular. </w:t>
      </w:r>
    </w:p>
    <w:p w:rsidR="0038275D" w:rsidRPr="003A0C5E" w:rsidP="0038275D" w14:paraId="68FA991C" w14:textId="77777777">
      <w:pPr>
        <w:spacing w:line="360" w:lineRule="auto"/>
        <w:ind w:firstLine="1985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A iniciativa limita-se a instituir política pública, objetivos e diretrizes gerais, permitindo que sua execução seja adequada à organização da rede municipal, à autonomia pedagógica das escolas e à disponibilidade orçamentária. </w:t>
      </w:r>
    </w:p>
    <w:p w:rsidR="0038275D" w:rsidRPr="003A0C5E" w:rsidP="0038275D" w14:paraId="70D0A4D4" w14:textId="77777777">
      <w:pPr>
        <w:spacing w:line="360" w:lineRule="auto"/>
        <w:ind w:firstLine="1985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Além disso, a possibilidade de cooperação com o Governo do Estado e com o Centro Paula Souza fortalece o regime de colaboração entre os entes federativos, sem interferir na autonomia administrativa ou nos critérios de seleção das </w:t>
      </w:r>
      <w:r w:rsidRPr="003A0C5E">
        <w:rPr>
          <w:rFonts w:ascii="Arial" w:hAnsi="Arial" w:cs="Arial"/>
        </w:rPr>
        <w:t>ETECs</w:t>
      </w:r>
      <w:r w:rsidRPr="003A0C5E">
        <w:rPr>
          <w:rFonts w:ascii="Arial" w:hAnsi="Arial" w:cs="Arial"/>
        </w:rPr>
        <w:t xml:space="preserve">. </w:t>
      </w:r>
    </w:p>
    <w:p w:rsidR="0038275D" w:rsidRPr="003A0C5E" w:rsidP="0038275D" w14:paraId="0F505B2B" w14:textId="77777777">
      <w:pPr>
        <w:spacing w:line="360" w:lineRule="auto"/>
        <w:ind w:firstLine="1985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A preparação oferecida não deverá ser entendida como simples treinamento para provas. </w:t>
      </w:r>
    </w:p>
    <w:p w:rsidR="0038275D" w:rsidRPr="003A0C5E" w:rsidP="0038275D" w14:paraId="18C647BB" w14:textId="77777777">
      <w:pPr>
        <w:spacing w:line="360" w:lineRule="auto"/>
        <w:ind w:firstLine="1985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As atividades de leitura, interpretação, raciocínio lógico, resolução de problemas, organização dos estudos e orientação profissional contribuem para a melhoria geral da aprendizagem, para a recuperação de conteúdos e para a construção do projeto de vida dos estudantes. </w:t>
      </w:r>
    </w:p>
    <w:p w:rsidR="0038275D" w:rsidRPr="003A0C5E" w:rsidP="0038275D" w14:paraId="09BA92E0" w14:textId="60F58695">
      <w:pPr>
        <w:spacing w:line="360" w:lineRule="auto"/>
        <w:ind w:firstLine="1985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 xml:space="preserve">Trata-se, portanto, de medida educacional de relevante interesse público, capaz de democratizar o acesso à informação, reduzir desigualdades e ampliar as perspectivas acadêmicas e profissionais dos </w:t>
      </w:r>
      <w:r w:rsidR="00543E68">
        <w:rPr>
          <w:rFonts w:ascii="Arial" w:hAnsi="Arial" w:cs="Arial"/>
        </w:rPr>
        <w:t xml:space="preserve">nossos </w:t>
      </w:r>
      <w:r w:rsidRPr="003A0C5E">
        <w:rPr>
          <w:rFonts w:ascii="Arial" w:hAnsi="Arial" w:cs="Arial"/>
        </w:rPr>
        <w:t>jovens</w:t>
      </w:r>
      <w:r w:rsidR="00543E68">
        <w:rPr>
          <w:rFonts w:ascii="Arial" w:hAnsi="Arial" w:cs="Arial"/>
        </w:rPr>
        <w:t>.</w:t>
      </w:r>
    </w:p>
    <w:p w:rsidR="0038275D" w:rsidRPr="003A0C5E" w:rsidP="0038275D" w14:paraId="55A148DB" w14:textId="77777777">
      <w:pPr>
        <w:spacing w:line="360" w:lineRule="auto"/>
        <w:ind w:firstLine="1985"/>
        <w:jc w:val="both"/>
        <w:rPr>
          <w:rFonts w:ascii="Arial" w:hAnsi="Arial" w:cs="Arial"/>
        </w:rPr>
      </w:pPr>
      <w:r w:rsidRPr="003A0C5E">
        <w:rPr>
          <w:rFonts w:ascii="Arial" w:hAnsi="Arial" w:cs="Arial"/>
        </w:rPr>
        <w:t>Diante do exposto, considerando o mérito educacional e social da proposta, conto com o apoio dos Nobres Pares para sua aprovação.</w:t>
      </w:r>
    </w:p>
    <w:p w:rsidR="003A0C5E" w:rsidRPr="00BE4544" w:rsidP="003A0C5E" w14:paraId="20FD35A1" w14:textId="0943A887">
      <w:pPr>
        <w:jc w:val="center"/>
        <w:rPr>
          <w:rFonts w:ascii="Arial" w:hAnsi="Arial" w:cs="Arial"/>
        </w:rPr>
      </w:pPr>
      <w:r w:rsidRPr="00BE4544">
        <w:rPr>
          <w:rFonts w:ascii="Arial" w:hAnsi="Arial" w:cs="Arial"/>
        </w:rPr>
        <w:t xml:space="preserve">Sala das Sessões, </w:t>
      </w:r>
      <w:r w:rsidRPr="00BE4544" w:rsidR="00543E68">
        <w:rPr>
          <w:rFonts w:ascii="Arial" w:hAnsi="Arial" w:cs="Arial"/>
        </w:rPr>
        <w:t>0</w:t>
      </w:r>
      <w:r w:rsidRPr="00BE4544" w:rsidR="001359BE">
        <w:rPr>
          <w:rFonts w:ascii="Arial" w:hAnsi="Arial" w:cs="Arial"/>
        </w:rPr>
        <w:t>9</w:t>
      </w:r>
      <w:r w:rsidRPr="00BE4544">
        <w:rPr>
          <w:rFonts w:ascii="Arial" w:hAnsi="Arial" w:cs="Arial"/>
        </w:rPr>
        <w:t xml:space="preserve"> de </w:t>
      </w:r>
      <w:r w:rsidRPr="00BE4544" w:rsidR="00543E68">
        <w:rPr>
          <w:rFonts w:ascii="Arial" w:hAnsi="Arial" w:cs="Arial"/>
        </w:rPr>
        <w:t>S</w:t>
      </w:r>
      <w:r w:rsidRPr="00BE4544" w:rsidR="00385E4C">
        <w:rPr>
          <w:rFonts w:ascii="Arial" w:hAnsi="Arial" w:cs="Arial"/>
        </w:rPr>
        <w:t>e</w:t>
      </w:r>
      <w:r w:rsidRPr="00BE4544" w:rsidR="00543E68">
        <w:rPr>
          <w:rFonts w:ascii="Arial" w:hAnsi="Arial" w:cs="Arial"/>
        </w:rPr>
        <w:t>tembro</w:t>
      </w:r>
      <w:r w:rsidRPr="00BE4544">
        <w:rPr>
          <w:rFonts w:ascii="Arial" w:hAnsi="Arial" w:cs="Arial"/>
        </w:rPr>
        <w:t xml:space="preserve"> de 2026.</w:t>
      </w:r>
    </w:p>
    <w:p w:rsidR="003A0C5E" w:rsidRPr="00DD473B" w:rsidP="003A0C5E" w14:paraId="2CFF2959" w14:textId="77777777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DD473B">
        <w:rPr>
          <w:rFonts w:ascii="Arial" w:hAnsi="Arial" w:cs="Arial"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1713928</wp:posOffset>
            </wp:positionH>
            <wp:positionV relativeFrom="paragraph">
              <wp:posOffset>137795</wp:posOffset>
            </wp:positionV>
            <wp:extent cx="2334895" cy="737656"/>
            <wp:effectExtent l="0" t="0" r="0" b="0"/>
            <wp:wrapNone/>
            <wp:docPr id="519445861" name="Imagem 5194458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287073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7376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0C5E" w:rsidRPr="00DD473B" w:rsidP="003A0C5E" w14:paraId="53E1F63A" w14:textId="77777777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555E7D" w:rsidP="003A0C5E" w14:paraId="03A2469E" w14:textId="77777777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3A0C5E" w:rsidRPr="00DD473B" w:rsidP="003A0C5E" w14:paraId="1EAFE012" w14:textId="3501082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D473B">
        <w:rPr>
          <w:rFonts w:ascii="Arial" w:hAnsi="Arial" w:cs="Arial"/>
          <w:b/>
          <w:sz w:val="24"/>
          <w:szCs w:val="24"/>
        </w:rPr>
        <w:t>SEBASTIAO ALVES CORREA</w:t>
      </w:r>
    </w:p>
    <w:p w:rsidR="003A0C5E" w:rsidRPr="00560570" w:rsidP="003A0C5E" w14:paraId="5C33D393" w14:textId="77777777">
      <w:pPr>
        <w:spacing w:after="0"/>
        <w:jc w:val="center"/>
        <w:rPr>
          <w:rFonts w:ascii="Arial" w:hAnsi="Arial" w:cs="Arial"/>
          <w:bCs/>
        </w:rPr>
      </w:pPr>
      <w:r w:rsidRPr="00560570">
        <w:rPr>
          <w:rFonts w:ascii="Arial" w:hAnsi="Arial" w:cs="Arial"/>
          <w:bCs/>
        </w:rPr>
        <w:t>TIÃO CORREA – Vereador (PSDB)</w:t>
      </w:r>
    </w:p>
    <w:p w:rsidR="003A0C5E" w:rsidP="003A0C5E" w14:paraId="4B48A1B7" w14:textId="77777777">
      <w:pPr>
        <w:spacing w:after="0"/>
        <w:ind w:firstLine="1418"/>
        <w:jc w:val="both"/>
        <w:rPr>
          <w:rFonts w:ascii="Arial" w:hAnsi="Arial" w:cs="Arial"/>
        </w:rPr>
      </w:pPr>
    </w:p>
    <w:p w:rsidR="00B047F9" w:rsidRPr="003A0C5E" w:rsidP="0038275D" w14:paraId="2180B8A7" w14:textId="5245D0DF"/>
    <w:sectPr w:rsidSect="002F350A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560" w:right="141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1AB1" w14:paraId="5BB1C3B3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571AB1" w:rsidRPr="006D1E9A" w:rsidP="006D1E9A" w14:paraId="166BF905" w14:textId="7777777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571AB1" w:rsidRPr="006D1E9A" w:rsidP="006D1E9A" w14:paraId="473CED03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1AB1" w14:paraId="22F9212D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1AB1" w:rsidRPr="006D1E9A" w:rsidP="006D1E9A" w14:paraId="03DBD5D6" w14:textId="77777777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91423641" name="Imagem 20914236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619875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619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C6C2B41"/>
    <w:multiLevelType w:val="multilevel"/>
    <w:tmpl w:val="16BC9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4E0"/>
    <w:rsid w:val="00022729"/>
    <w:rsid w:val="000278DD"/>
    <w:rsid w:val="000319A9"/>
    <w:rsid w:val="00070A40"/>
    <w:rsid w:val="000A1A5F"/>
    <w:rsid w:val="000D3CD5"/>
    <w:rsid w:val="000E1614"/>
    <w:rsid w:val="000E6FB3"/>
    <w:rsid w:val="000F1FDE"/>
    <w:rsid w:val="0012403D"/>
    <w:rsid w:val="001359BE"/>
    <w:rsid w:val="001411EF"/>
    <w:rsid w:val="001627E0"/>
    <w:rsid w:val="00180FE4"/>
    <w:rsid w:val="001A3CA0"/>
    <w:rsid w:val="001B6D0E"/>
    <w:rsid w:val="001E1B6A"/>
    <w:rsid w:val="001F0514"/>
    <w:rsid w:val="00201EAA"/>
    <w:rsid w:val="002128A0"/>
    <w:rsid w:val="00212AE2"/>
    <w:rsid w:val="00250737"/>
    <w:rsid w:val="00250E4C"/>
    <w:rsid w:val="00294700"/>
    <w:rsid w:val="00294808"/>
    <w:rsid w:val="002C42CF"/>
    <w:rsid w:val="002F350A"/>
    <w:rsid w:val="003158F4"/>
    <w:rsid w:val="00344B3B"/>
    <w:rsid w:val="00362179"/>
    <w:rsid w:val="00364393"/>
    <w:rsid w:val="0038275D"/>
    <w:rsid w:val="00385E4C"/>
    <w:rsid w:val="0039239C"/>
    <w:rsid w:val="003A0C5E"/>
    <w:rsid w:val="003F3C28"/>
    <w:rsid w:val="004046EC"/>
    <w:rsid w:val="00465A9B"/>
    <w:rsid w:val="00482C1B"/>
    <w:rsid w:val="0048672D"/>
    <w:rsid w:val="004977E7"/>
    <w:rsid w:val="004A04B1"/>
    <w:rsid w:val="004B2189"/>
    <w:rsid w:val="004B7C36"/>
    <w:rsid w:val="004D67FD"/>
    <w:rsid w:val="004E07E0"/>
    <w:rsid w:val="005038CC"/>
    <w:rsid w:val="00520B62"/>
    <w:rsid w:val="00543E68"/>
    <w:rsid w:val="00555E7D"/>
    <w:rsid w:val="00560570"/>
    <w:rsid w:val="00571AB1"/>
    <w:rsid w:val="005A28D1"/>
    <w:rsid w:val="005B6DF5"/>
    <w:rsid w:val="005D2595"/>
    <w:rsid w:val="00647362"/>
    <w:rsid w:val="00651F8E"/>
    <w:rsid w:val="00653E42"/>
    <w:rsid w:val="00666A58"/>
    <w:rsid w:val="00676980"/>
    <w:rsid w:val="006945AF"/>
    <w:rsid w:val="006C1428"/>
    <w:rsid w:val="006D1E9A"/>
    <w:rsid w:val="006E0DF8"/>
    <w:rsid w:val="00750C60"/>
    <w:rsid w:val="007F5A82"/>
    <w:rsid w:val="00856A11"/>
    <w:rsid w:val="008834E0"/>
    <w:rsid w:val="008862EE"/>
    <w:rsid w:val="00893A60"/>
    <w:rsid w:val="008F3296"/>
    <w:rsid w:val="00962552"/>
    <w:rsid w:val="009905D6"/>
    <w:rsid w:val="009A0E92"/>
    <w:rsid w:val="009C236A"/>
    <w:rsid w:val="009D5864"/>
    <w:rsid w:val="009D7CFB"/>
    <w:rsid w:val="00A50CCB"/>
    <w:rsid w:val="00A52523"/>
    <w:rsid w:val="00A95170"/>
    <w:rsid w:val="00AC60B3"/>
    <w:rsid w:val="00AF1529"/>
    <w:rsid w:val="00B047F9"/>
    <w:rsid w:val="00B54AD8"/>
    <w:rsid w:val="00B72DAD"/>
    <w:rsid w:val="00B85429"/>
    <w:rsid w:val="00BC081C"/>
    <w:rsid w:val="00BC6C68"/>
    <w:rsid w:val="00BD200C"/>
    <w:rsid w:val="00BD5ACD"/>
    <w:rsid w:val="00BE3A9A"/>
    <w:rsid w:val="00BE4544"/>
    <w:rsid w:val="00BF03F8"/>
    <w:rsid w:val="00C62D78"/>
    <w:rsid w:val="00C6558F"/>
    <w:rsid w:val="00CA1E35"/>
    <w:rsid w:val="00CA6BD6"/>
    <w:rsid w:val="00CA78BE"/>
    <w:rsid w:val="00CB3769"/>
    <w:rsid w:val="00D97D31"/>
    <w:rsid w:val="00DC08D4"/>
    <w:rsid w:val="00DD473B"/>
    <w:rsid w:val="00E0146A"/>
    <w:rsid w:val="00E075F8"/>
    <w:rsid w:val="00E1317A"/>
    <w:rsid w:val="00E1349D"/>
    <w:rsid w:val="00E15FE7"/>
    <w:rsid w:val="00EA5F77"/>
    <w:rsid w:val="00EB103B"/>
    <w:rsid w:val="00EE0800"/>
    <w:rsid w:val="00EE2D8B"/>
    <w:rsid w:val="00EF05EE"/>
    <w:rsid w:val="00EF6F5D"/>
    <w:rsid w:val="00F14C4F"/>
    <w:rsid w:val="00F36954"/>
    <w:rsid w:val="00F40CEA"/>
    <w:rsid w:val="00F90B17"/>
    <w:rsid w:val="00F9180A"/>
    <w:rsid w:val="00FD1AE9"/>
    <w:rsid w:val="00FF571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1FBD10E-0A7D-4429-BBA9-885AB7D64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34E0"/>
    <w:pPr>
      <w:spacing w:after="200" w:line="276" w:lineRule="auto"/>
    </w:pPr>
    <w:rPr>
      <w:rFonts w:ascii="Calibri" w:eastAsia="Calibri" w:hAnsi="Calibri" w:cs="Calibri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83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CabealhoChar"/>
    <w:uiPriority w:val="99"/>
    <w:unhideWhenUsed/>
    <w:rsid w:val="00BD20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BD200C"/>
    <w:rPr>
      <w:rFonts w:ascii="Calibri" w:eastAsia="Calibri" w:hAnsi="Calibri" w:cs="Calibri"/>
      <w:lang w:eastAsia="pt-BR"/>
    </w:rPr>
  </w:style>
  <w:style w:type="character" w:customStyle="1" w:styleId="normas-indices-artigo">
    <w:name w:val="normas-indices-artigo"/>
    <w:basedOn w:val="DefaultParagraphFont"/>
    <w:rsid w:val="00250E4C"/>
  </w:style>
  <w:style w:type="character" w:customStyle="1" w:styleId="highlight">
    <w:name w:val="highlight"/>
    <w:basedOn w:val="DefaultParagraphFont"/>
    <w:rsid w:val="00250E4C"/>
  </w:style>
  <w:style w:type="character" w:customStyle="1" w:styleId="uv3um">
    <w:name w:val="uv3um"/>
    <w:basedOn w:val="DefaultParagraphFont"/>
    <w:rsid w:val="00F14C4F"/>
  </w:style>
  <w:style w:type="character" w:styleId="Hyperlink">
    <w:name w:val="Hyperlink"/>
    <w:basedOn w:val="DefaultParagraphFont"/>
    <w:uiPriority w:val="99"/>
    <w:unhideWhenUsed/>
    <w:rsid w:val="00520B6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20B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54781C-35B0-4D22-8EF5-33C6E2A81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9</Pages>
  <Words>1997</Words>
  <Characters>10787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Tião Correa</dc:creator>
  <cp:lastModifiedBy>Tião Correa</cp:lastModifiedBy>
  <cp:revision>10</cp:revision>
  <cp:lastPrinted>2026-08-25T16:15:00Z</cp:lastPrinted>
  <dcterms:created xsi:type="dcterms:W3CDTF">2026-08-24T19:07:00Z</dcterms:created>
  <dcterms:modified xsi:type="dcterms:W3CDTF">2026-09-08T14:37:00Z</dcterms:modified>
</cp:coreProperties>
</file>