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D7B942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cata </w:t>
      </w:r>
      <w:r w:rsidR="009A2C13">
        <w:rPr>
          <w:sz w:val="28"/>
          <w:szCs w:val="28"/>
        </w:rPr>
        <w:t xml:space="preserve">treco na Rua Antônio </w:t>
      </w:r>
      <w:r w:rsidR="009A2C13">
        <w:rPr>
          <w:sz w:val="28"/>
          <w:szCs w:val="28"/>
        </w:rPr>
        <w:t>Carnevale</w:t>
      </w:r>
      <w:r w:rsidR="009A2C13">
        <w:rPr>
          <w:sz w:val="28"/>
          <w:szCs w:val="28"/>
        </w:rPr>
        <w:t>, 266 – Parque Residencial Casarão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31968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E88"/>
    <w:rsid w:val="00544EC4"/>
    <w:rsid w:val="00546C31"/>
    <w:rsid w:val="00547C5E"/>
    <w:rsid w:val="0055000D"/>
    <w:rsid w:val="005511CC"/>
    <w:rsid w:val="0055274B"/>
    <w:rsid w:val="005530B6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314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2026-09-03T14:04:00Z</dcterms:created>
  <dcterms:modified xsi:type="dcterms:W3CDTF">2026-09-03T14:04:00Z</dcterms:modified>
</cp:coreProperties>
</file>