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5412A4" w:rsidRPr="005412A4" w:rsidP="005412A4" w14:paraId="3C72FBE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412A4">
        <w:rPr>
          <w:rFonts w:ascii="Tahoma" w:hAnsi="Tahoma" w:cs="Tahoma"/>
          <w:b/>
          <w:bCs/>
          <w:sz w:val="24"/>
          <w:szCs w:val="24"/>
        </w:rPr>
        <w:t>Cata-treco na Rua José Zeferino Ferreira, nº 203, no bairro Parque Bandeirantes II.</w:t>
      </w:r>
    </w:p>
    <w:p w:rsidR="005412A4" w:rsidRPr="005412A4" w:rsidP="005412A4" w14:paraId="2237A238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412A4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34E2984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64020">
        <w:rPr>
          <w:rFonts w:ascii="Tahoma" w:hAnsi="Tahoma" w:cs="Tahoma"/>
          <w:sz w:val="24"/>
          <w:szCs w:val="24"/>
        </w:rPr>
        <w:t>01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739A4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12A4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87FDF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3D5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2026-08-31T13:36:00Z</dcterms:created>
  <dcterms:modified xsi:type="dcterms:W3CDTF">2026-08-31T13:36:00Z</dcterms:modified>
</cp:coreProperties>
</file>