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agosto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229/2026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229/2026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proibição de remoção e reboque de veículos de propriedade de pessoa com deficiência ou pessoa idosa, devidamente identificados, no âmbito do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