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de remoção e reboque de veículos de propriedade de pessoa com deficiência ou pessoa idosa, devidamente identificados,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