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vedação da publicidade, propaganda e divulgação de serviços de apostas de quota fixa (bets) em espaços públicos municipais, equipamentos públicos e mobiliário urbano no âmbito do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