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vedação da publicidade, propaganda e divulgação de serviços de apostas de quota fixa (bets) em espaços públicos municipais, equipamentos públicos e mobiliário urbano no âmbito do Município de Sumaré,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