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178/2026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Emenda Nº 1 ao Projeto de Lei Nº 178/2026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Suprime o Parágrafo Único do art. 7º do Projeto de Lei nº 178/2026, que "Dispõe sobre a vedação da publicidade, propaganda e divulgação de serviços de apostas de quota fixa (Bets) em espaços públicos municipais, equipamentos públicos e mobiliário urbano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