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no valor de R$ 66.038,29 (sessenta e seis mil, trinta e oito reais e vinte e nove centavos) para os fins que especifica e da outras providencias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