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222/2026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e especial no orçamento vigente no valor de R$ 1.464.000,00 (um milhão e quatrocentos e sessenta e quatro mil reais) para os fins que especifica e da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