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e especial no orçamento vigente no valor de R$ 1.464.000,00 (um milhão e quatrocentos e sessenta e quatro mil reais) para os fins que especifica e da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