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221/2026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orçamento vigente no valor de R$ 3.900.000,00 (três milhões e novecentos mil reais) para os fins que especifica e da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1125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112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