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R$ 3.900.000,00 (três milhões e novecentos mil reais) para os fins que especifica e da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