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220/2026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no orçamento vigente no valor de R$ 850.000,00 (oitocentos e cinquenta mil reais) para os fins que especifica e da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