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220/2026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orçamento vigente no valor de R$ 850.000,00 (oitocentos e cinquenta mil reais) para os fins que especifica e da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