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219/2026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orçamento vigente no valor de R$ 3.500.000,00 (três milhões, quinhentos mil reais) para os fins que especifica e da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