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R$ 3.500.000,00 (três milhões, quinhentos mil reais) para os fins que especifica e da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